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6B" w:rsidRPr="007A42F4" w:rsidRDefault="00A0406B" w:rsidP="00DD6ACC">
      <w:pPr>
        <w:tabs>
          <w:tab w:val="left" w:pos="7938"/>
        </w:tabs>
        <w:spacing w:after="0" w:line="240" w:lineRule="auto"/>
        <w:rPr>
          <w:sz w:val="26"/>
          <w:lang w:val="nl-NL"/>
        </w:rPr>
      </w:pPr>
      <w:r w:rsidRPr="004C06BC">
        <w:rPr>
          <w:sz w:val="26"/>
          <w:lang w:val="nl-NL"/>
        </w:rPr>
        <w:t>UBND TỈ</w:t>
      </w:r>
      <w:r>
        <w:rPr>
          <w:sz w:val="26"/>
          <w:lang w:val="nl-NL"/>
        </w:rPr>
        <w:t xml:space="preserve">NH QUẢNG TRỊ              </w:t>
      </w:r>
      <w:r w:rsidRPr="004C06BC">
        <w:rPr>
          <w:sz w:val="26"/>
          <w:lang w:val="nl-NL"/>
        </w:rPr>
        <w:t xml:space="preserve"> </w:t>
      </w:r>
      <w:r w:rsidRPr="007A42F4">
        <w:rPr>
          <w:b/>
          <w:sz w:val="26"/>
          <w:lang w:val="nl-NL"/>
        </w:rPr>
        <w:t>CỘNG HOÀ XÃ HỘI CHỦ NGHĨA VIỆT NAM</w:t>
      </w:r>
    </w:p>
    <w:p w:rsidR="00A0406B" w:rsidRPr="00DD6ACC" w:rsidRDefault="00A0406B" w:rsidP="00824B7E">
      <w:pPr>
        <w:spacing w:after="0" w:line="240" w:lineRule="auto"/>
        <w:rPr>
          <w:szCs w:val="28"/>
          <w:lang w:val="nl-NL"/>
        </w:rPr>
      </w:pPr>
      <w:r w:rsidRPr="004C06BC">
        <w:rPr>
          <w:b/>
          <w:sz w:val="30"/>
          <w:szCs w:val="26"/>
          <w:lang w:val="nl-NL"/>
        </w:rPr>
        <w:t xml:space="preserve">     </w:t>
      </w:r>
      <w:r w:rsidR="00553BFB">
        <w:rPr>
          <w:b/>
          <w:sz w:val="30"/>
          <w:szCs w:val="26"/>
          <w:lang w:val="nl-NL"/>
        </w:rPr>
        <w:t xml:space="preserve"> </w:t>
      </w:r>
      <w:r w:rsidRPr="004C06BC">
        <w:rPr>
          <w:b/>
          <w:sz w:val="26"/>
          <w:szCs w:val="26"/>
          <w:lang w:val="nl-NL"/>
        </w:rPr>
        <w:t>SỞ TÀI CHÍNH</w:t>
      </w:r>
      <w:r w:rsidRPr="004C06BC">
        <w:rPr>
          <w:sz w:val="26"/>
          <w:lang w:val="nl-NL"/>
        </w:rPr>
        <w:t xml:space="preserve"> </w:t>
      </w:r>
      <w:r w:rsidR="00DD6ACC">
        <w:rPr>
          <w:sz w:val="24"/>
          <w:lang w:val="nl-NL"/>
        </w:rPr>
        <w:tab/>
      </w:r>
      <w:r w:rsidR="00DD6ACC">
        <w:rPr>
          <w:sz w:val="24"/>
          <w:lang w:val="nl-NL"/>
        </w:rPr>
        <w:tab/>
      </w:r>
      <w:r w:rsidR="00DD6ACC">
        <w:rPr>
          <w:sz w:val="24"/>
          <w:lang w:val="nl-NL"/>
        </w:rPr>
        <w:tab/>
        <w:t xml:space="preserve">    </w:t>
      </w:r>
      <w:r w:rsidRPr="00D0678D">
        <w:rPr>
          <w:sz w:val="24"/>
          <w:lang w:val="nl-NL"/>
        </w:rPr>
        <w:t xml:space="preserve">   </w:t>
      </w:r>
      <w:r w:rsidRPr="00DD6ACC">
        <w:rPr>
          <w:b/>
          <w:szCs w:val="28"/>
          <w:lang w:val="nl-NL"/>
        </w:rPr>
        <w:t>Độc lập - Tự do - Hạnh phúc</w:t>
      </w:r>
    </w:p>
    <w:p w:rsidR="00A0406B" w:rsidRPr="00D0678D" w:rsidRDefault="00AE6312" w:rsidP="00824B7E">
      <w:pPr>
        <w:spacing w:after="0" w:line="240" w:lineRule="auto"/>
        <w:rPr>
          <w:sz w:val="16"/>
          <w:lang w:val="nl-NL"/>
        </w:rPr>
      </w:pPr>
      <w:r>
        <w:rPr>
          <w:noProof/>
          <w:sz w:val="16"/>
        </w:rPr>
        <w:pict>
          <v:line id="_x0000_s1027" style="position:absolute;flip:y;z-index:251661312" from="249.75pt,.4pt" to="398.3pt,.4pt"/>
        </w:pict>
      </w:r>
      <w:r>
        <w:rPr>
          <w:noProof/>
          <w:sz w:val="16"/>
        </w:rPr>
        <w:pict>
          <v:line id="_x0000_s1026" style="position:absolute;z-index:251660288" from="43.6pt,1.9pt" to="98.1pt,1.9pt"/>
        </w:pict>
      </w:r>
      <w:r w:rsidR="00A0406B">
        <w:rPr>
          <w:sz w:val="16"/>
          <w:lang w:val="nl-NL"/>
        </w:rPr>
        <w:t xml:space="preserve">     </w:t>
      </w:r>
    </w:p>
    <w:p w:rsidR="00A0406B" w:rsidRDefault="00A0406B" w:rsidP="00A0406B">
      <w:pPr>
        <w:rPr>
          <w:i/>
          <w:lang w:val="nl-NL"/>
        </w:rPr>
      </w:pPr>
      <w:r w:rsidRPr="00D0678D">
        <w:rPr>
          <w:lang w:val="nl-NL"/>
        </w:rPr>
        <w:t xml:space="preserve">  </w:t>
      </w:r>
      <w:r>
        <w:rPr>
          <w:lang w:val="nl-NL"/>
        </w:rPr>
        <w:t xml:space="preserve">  </w:t>
      </w:r>
      <w:r>
        <w:rPr>
          <w:lang w:val="nl-NL"/>
        </w:rPr>
        <w:tab/>
      </w:r>
      <w:r>
        <w:rPr>
          <w:lang w:val="nl-NL"/>
        </w:rPr>
        <w:tab/>
      </w:r>
      <w:r>
        <w:rPr>
          <w:lang w:val="nl-NL"/>
        </w:rPr>
        <w:tab/>
      </w:r>
      <w:r>
        <w:rPr>
          <w:lang w:val="nl-NL"/>
        </w:rPr>
        <w:tab/>
      </w:r>
      <w:r>
        <w:rPr>
          <w:lang w:val="nl-NL"/>
        </w:rPr>
        <w:tab/>
      </w:r>
      <w:r>
        <w:rPr>
          <w:lang w:val="nl-NL"/>
        </w:rPr>
        <w:tab/>
      </w:r>
      <w:r w:rsidRPr="000E2039">
        <w:rPr>
          <w:i/>
          <w:lang w:val="nl-NL"/>
        </w:rPr>
        <w:t xml:space="preserve">Quảng </w:t>
      </w:r>
      <w:r>
        <w:rPr>
          <w:i/>
          <w:lang w:val="nl-NL"/>
        </w:rPr>
        <w:t xml:space="preserve">Trị, ngày </w:t>
      </w:r>
      <w:r w:rsidR="009D2A04">
        <w:rPr>
          <w:i/>
          <w:lang w:val="nl-NL"/>
        </w:rPr>
        <w:t>1</w:t>
      </w:r>
      <w:r w:rsidR="0044349B">
        <w:rPr>
          <w:i/>
          <w:lang w:val="nl-NL"/>
        </w:rPr>
        <w:t>2</w:t>
      </w:r>
      <w:r w:rsidR="00DD6ACC">
        <w:rPr>
          <w:i/>
          <w:lang w:val="nl-NL"/>
        </w:rPr>
        <w:t xml:space="preserve"> </w:t>
      </w:r>
      <w:r>
        <w:rPr>
          <w:i/>
          <w:lang w:val="nl-NL"/>
        </w:rPr>
        <w:t xml:space="preserve"> tháng </w:t>
      </w:r>
      <w:r w:rsidR="00824B7E">
        <w:rPr>
          <w:i/>
          <w:lang w:val="nl-NL"/>
        </w:rPr>
        <w:t xml:space="preserve"> </w:t>
      </w:r>
      <w:r w:rsidR="009D2A04">
        <w:rPr>
          <w:i/>
          <w:lang w:val="nl-NL"/>
        </w:rPr>
        <w:t>11</w:t>
      </w:r>
      <w:r>
        <w:rPr>
          <w:i/>
          <w:lang w:val="nl-NL"/>
        </w:rPr>
        <w:t xml:space="preserve">   năm 2025</w:t>
      </w:r>
    </w:p>
    <w:p w:rsidR="00A0406B" w:rsidRDefault="00A0406B" w:rsidP="00FC54FB">
      <w:pPr>
        <w:rPr>
          <w:b/>
          <w:sz w:val="12"/>
          <w:lang w:val="nl-NL"/>
        </w:rPr>
      </w:pPr>
    </w:p>
    <w:p w:rsidR="00A0406B" w:rsidRDefault="00A0406B" w:rsidP="00A0406B">
      <w:pPr>
        <w:ind w:left="1440" w:firstLine="720"/>
        <w:jc w:val="center"/>
        <w:rPr>
          <w:b/>
          <w:sz w:val="12"/>
          <w:lang w:val="nl-NL"/>
        </w:rPr>
      </w:pPr>
    </w:p>
    <w:p w:rsidR="00A0406B" w:rsidRDefault="00A0406B" w:rsidP="00136C36">
      <w:pPr>
        <w:ind w:left="-142" w:firstLine="142"/>
        <w:jc w:val="center"/>
        <w:rPr>
          <w:lang w:val="nl-NL"/>
        </w:rPr>
      </w:pPr>
      <w:r>
        <w:rPr>
          <w:b/>
          <w:lang w:val="nl-NL"/>
        </w:rPr>
        <w:t>BẢN TỔNG HỢP Ý KIẾN, TIẾP THU, GIẢI TRÌNH Ý KIẾN GÓP Ý, ĐỐ</w:t>
      </w:r>
      <w:r w:rsidR="00136C36">
        <w:rPr>
          <w:b/>
          <w:lang w:val="nl-NL"/>
        </w:rPr>
        <w:t xml:space="preserve">I </w:t>
      </w:r>
      <w:r>
        <w:rPr>
          <w:b/>
          <w:lang w:val="nl-NL"/>
        </w:rPr>
        <w:t>VỚI DỰ THẢO QUYẾT ĐỊNH CỦA ỦY BAN NHÂN DÂN TỈ</w:t>
      </w:r>
      <w:r w:rsidR="00FC54FB">
        <w:rPr>
          <w:b/>
          <w:lang w:val="nl-NL"/>
        </w:rPr>
        <w:t xml:space="preserve">NH QUY </w:t>
      </w:r>
      <w:r>
        <w:rPr>
          <w:b/>
          <w:lang w:val="nl-NL"/>
        </w:rPr>
        <w:t xml:space="preserve">ĐỊNH </w:t>
      </w:r>
      <w:r w:rsidR="00E635B2">
        <w:rPr>
          <w:b/>
          <w:lang w:val="nl-NL"/>
        </w:rPr>
        <w:t>QUY CHẾ</w:t>
      </w:r>
      <w:r w:rsidR="00FC54FB">
        <w:rPr>
          <w:b/>
          <w:lang w:val="nl-NL"/>
        </w:rPr>
        <w:t xml:space="preserve"> </w:t>
      </w:r>
      <w:r w:rsidR="0044349B">
        <w:rPr>
          <w:b/>
          <w:lang w:val="nl-NL"/>
        </w:rPr>
        <w:t xml:space="preserve">GIÁM SÁT TÀI CHÍNH VÀ ĐÁNH GIÁ HIỆU QUẢ HOẠT ĐỘNG CÁC DOANH NGHIỆP </w:t>
      </w:r>
      <w:r w:rsidR="00FC54FB">
        <w:rPr>
          <w:b/>
          <w:lang w:val="nl-NL"/>
        </w:rPr>
        <w:t xml:space="preserve">DO NHÀ NƯỚC NẮM GIỮ 100% VỐN ĐIỀU LỆ </w:t>
      </w:r>
      <w:r w:rsidR="0044349B">
        <w:rPr>
          <w:b/>
          <w:lang w:val="nl-NL"/>
        </w:rPr>
        <w:t xml:space="preserve">VÀ DOANH NGHIỆP CÓ VỐN NHÀ NƯỚC DO ỦY BAN NHÂN DÂN TỈNH </w:t>
      </w:r>
      <w:r w:rsidR="00FC54FB">
        <w:rPr>
          <w:b/>
          <w:lang w:val="nl-NL"/>
        </w:rPr>
        <w:t>QUẢNG TRỊ LÀM ĐẠI DIỆN CHỦ SỞ HỮU</w:t>
      </w:r>
    </w:p>
    <w:p w:rsidR="00A0406B" w:rsidRDefault="00A0406B" w:rsidP="00FC54FB">
      <w:pPr>
        <w:ind w:left="1440" w:firstLine="720"/>
        <w:rPr>
          <w:lang w:val="nl-NL"/>
        </w:rPr>
      </w:pPr>
      <w:r>
        <w:rPr>
          <w:lang w:val="nl-NL"/>
        </w:rPr>
        <w:t xml:space="preserve">       </w:t>
      </w:r>
      <w:r w:rsidR="00FC54FB">
        <w:rPr>
          <w:lang w:val="nl-NL"/>
        </w:rPr>
        <w:t xml:space="preserve">   </w:t>
      </w:r>
    </w:p>
    <w:p w:rsidR="00A0406B" w:rsidRPr="00780A39" w:rsidRDefault="00A0406B" w:rsidP="008D6482">
      <w:pPr>
        <w:tabs>
          <w:tab w:val="center" w:pos="0"/>
        </w:tabs>
        <w:spacing w:before="40" w:after="40" w:line="264" w:lineRule="auto"/>
        <w:jc w:val="both"/>
        <w:rPr>
          <w:spacing w:val="-4"/>
        </w:rPr>
      </w:pPr>
      <w:r>
        <w:rPr>
          <w:sz w:val="20"/>
          <w:lang w:val="nl-NL"/>
        </w:rPr>
        <w:tab/>
      </w:r>
      <w:r>
        <w:rPr>
          <w:lang w:val="nl-NL"/>
        </w:rPr>
        <w:t xml:space="preserve">Căn cứ Luật Ban hành văn bản quy phạm pháp luật, Sở Tài chính đã tổ chức lấy ý kiến đối với dự thảo </w:t>
      </w:r>
      <w:r w:rsidR="00357B0D" w:rsidRPr="00F35A8D">
        <w:rPr>
          <w:szCs w:val="28"/>
        </w:rPr>
        <w:t xml:space="preserve">Quyết định </w:t>
      </w:r>
      <w:r w:rsidR="00357B0D">
        <w:rPr>
          <w:color w:val="000000"/>
        </w:rPr>
        <w:t>b</w:t>
      </w:r>
      <w:r w:rsidR="00357B0D" w:rsidRPr="00F35A8D">
        <w:rPr>
          <w:color w:val="000000"/>
          <w:szCs w:val="28"/>
        </w:rPr>
        <w:t xml:space="preserve">an hành </w:t>
      </w:r>
      <w:r w:rsidR="00357B0D">
        <w:rPr>
          <w:color w:val="000000"/>
        </w:rPr>
        <w:t>Q</w:t>
      </w:r>
      <w:r w:rsidR="00357B0D" w:rsidRPr="00F35A8D">
        <w:rPr>
          <w:color w:val="000000"/>
          <w:szCs w:val="28"/>
        </w:rPr>
        <w:t xml:space="preserve">uy chế giám sát tài chính và đánh giá hiệu quả hoạt động các doanh nghiệp nhà nước nắm giữ 100% vốn điều lệ và doanh nghiệp có vốn nhà nước do </w:t>
      </w:r>
      <w:r w:rsidR="00357B0D">
        <w:rPr>
          <w:color w:val="000000"/>
          <w:szCs w:val="28"/>
        </w:rPr>
        <w:t xml:space="preserve">Ủy </w:t>
      </w:r>
      <w:r w:rsidR="00357B0D" w:rsidRPr="00F35A8D">
        <w:rPr>
          <w:color w:val="000000"/>
          <w:szCs w:val="28"/>
        </w:rPr>
        <w:t>ban nhân dân tỉnh Quảng Trị làm đại diện chủ sở hữu</w:t>
      </w:r>
      <w:r w:rsidRPr="00780A39">
        <w:rPr>
          <w:spacing w:val="-4"/>
        </w:rPr>
        <w:t>.</w:t>
      </w:r>
    </w:p>
    <w:p w:rsidR="00A0406B" w:rsidRDefault="00A0406B" w:rsidP="008D6482">
      <w:pPr>
        <w:tabs>
          <w:tab w:val="center" w:pos="0"/>
        </w:tabs>
        <w:spacing w:before="40" w:after="40" w:line="264" w:lineRule="auto"/>
        <w:jc w:val="both"/>
        <w:rPr>
          <w:spacing w:val="-4"/>
        </w:rPr>
      </w:pPr>
      <w:r>
        <w:rPr>
          <w:spacing w:val="-4"/>
        </w:rPr>
        <w:tab/>
        <w:t xml:space="preserve">1. Tổng số cơ quan, tổ chức, </w:t>
      </w:r>
      <w:r w:rsidR="008F6BB8">
        <w:rPr>
          <w:spacing w:val="-4"/>
        </w:rPr>
        <w:t>doanh nghiệp</w:t>
      </w:r>
      <w:r>
        <w:rPr>
          <w:spacing w:val="-4"/>
        </w:rPr>
        <w:t xml:space="preserve"> đã gửi xin ý kiến: </w:t>
      </w:r>
      <w:r w:rsidR="00D53366">
        <w:rPr>
          <w:spacing w:val="-4"/>
        </w:rPr>
        <w:t>2</w:t>
      </w:r>
      <w:r w:rsidR="002B3D7C">
        <w:rPr>
          <w:spacing w:val="-4"/>
        </w:rPr>
        <w:t>3</w:t>
      </w:r>
      <w:r>
        <w:rPr>
          <w:spacing w:val="-4"/>
        </w:rPr>
        <w:t xml:space="preserve">. Tổng số ý kiến nhận được bằng văn bản: </w:t>
      </w:r>
      <w:r w:rsidR="00357B0D">
        <w:rPr>
          <w:spacing w:val="-4"/>
        </w:rPr>
        <w:t>21</w:t>
      </w:r>
      <w:r w:rsidR="00D53366">
        <w:rPr>
          <w:spacing w:val="-4"/>
        </w:rPr>
        <w:t>, số đơn vị không tham gia góp ý bằng văn bản:</w:t>
      </w:r>
      <w:r w:rsidR="00357B0D">
        <w:rPr>
          <w:spacing w:val="-4"/>
        </w:rPr>
        <w:t xml:space="preserve"> 02</w:t>
      </w:r>
      <w:r w:rsidR="00316898">
        <w:rPr>
          <w:spacing w:val="-4"/>
        </w:rPr>
        <w:t xml:space="preserve"> (gồm Thuế tỉnh Quảng Bình, Công ty CP Tổng Công ty Thương mại Quảng Trị)</w:t>
      </w:r>
      <w:r w:rsidR="00D53366">
        <w:rPr>
          <w:spacing w:val="-4"/>
        </w:rPr>
        <w:t>.</w:t>
      </w:r>
    </w:p>
    <w:p w:rsidR="00A0406B" w:rsidRDefault="00A0406B" w:rsidP="008D6482">
      <w:pPr>
        <w:tabs>
          <w:tab w:val="center" w:pos="0"/>
        </w:tabs>
        <w:spacing w:before="40" w:after="40" w:line="264" w:lineRule="auto"/>
        <w:rPr>
          <w:spacing w:val="-4"/>
        </w:rPr>
      </w:pPr>
      <w:r>
        <w:rPr>
          <w:spacing w:val="-4"/>
        </w:rPr>
        <w:tab/>
        <w:t xml:space="preserve">2. Kết quả cụ thể: </w:t>
      </w:r>
      <w:r w:rsidR="00216AD4">
        <w:rPr>
          <w:spacing w:val="-4"/>
        </w:rPr>
        <w:t>19</w:t>
      </w:r>
      <w:r w:rsidR="00EC66EB">
        <w:rPr>
          <w:spacing w:val="-4"/>
        </w:rPr>
        <w:t>/2</w:t>
      </w:r>
      <w:r w:rsidR="002B3D7C">
        <w:rPr>
          <w:spacing w:val="-4"/>
        </w:rPr>
        <w:t>3</w:t>
      </w:r>
      <w:r>
        <w:rPr>
          <w:spacing w:val="-4"/>
        </w:rPr>
        <w:t xml:space="preserve"> ý kiến thống nhất hoàn toàn với dự thảo</w:t>
      </w:r>
      <w:r w:rsidR="00E72720">
        <w:rPr>
          <w:spacing w:val="-4"/>
        </w:rPr>
        <w:t>, 02/23 không có ý kiến,</w:t>
      </w:r>
      <w:r>
        <w:rPr>
          <w:spacing w:val="-4"/>
        </w:rPr>
        <w:t xml:space="preserve"> </w:t>
      </w:r>
      <w:r w:rsidR="00EC66EB">
        <w:rPr>
          <w:spacing w:val="-4"/>
        </w:rPr>
        <w:t>2/2</w:t>
      </w:r>
      <w:r w:rsidR="002B3D7C">
        <w:rPr>
          <w:spacing w:val="-4"/>
        </w:rPr>
        <w:t>3</w:t>
      </w:r>
      <w:r>
        <w:rPr>
          <w:spacing w:val="-4"/>
        </w:rPr>
        <w:t xml:space="preserve"> ý kiến góp ý bổ sung, cụ thể:</w:t>
      </w:r>
    </w:p>
    <w:p w:rsidR="008D6482" w:rsidRPr="008D6482" w:rsidRDefault="008D6482" w:rsidP="008D6482">
      <w:pPr>
        <w:tabs>
          <w:tab w:val="center" w:pos="0"/>
        </w:tabs>
        <w:spacing w:before="40" w:after="40" w:line="264" w:lineRule="auto"/>
        <w:rPr>
          <w:spacing w:val="-4"/>
          <w:sz w:val="12"/>
        </w:rPr>
      </w:pPr>
    </w:p>
    <w:tbl>
      <w:tblPr>
        <w:tblStyle w:val="TableGrid"/>
        <w:tblW w:w="9606" w:type="dxa"/>
        <w:tblLook w:val="04A0"/>
      </w:tblPr>
      <w:tblGrid>
        <w:gridCol w:w="1951"/>
        <w:gridCol w:w="1276"/>
        <w:gridCol w:w="2977"/>
        <w:gridCol w:w="3402"/>
      </w:tblGrid>
      <w:tr w:rsidR="000C4E72" w:rsidRPr="004E115D" w:rsidTr="001B1C03">
        <w:tc>
          <w:tcPr>
            <w:tcW w:w="1951"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CHÍNH SÁCH HO</w:t>
            </w:r>
            <w:r w:rsidRPr="004E115D">
              <w:rPr>
                <w:b/>
                <w:bCs/>
                <w:sz w:val="20"/>
                <w:szCs w:val="20"/>
                <w:lang w:val="vi-VN"/>
              </w:rPr>
              <w:t>ẶC NH</w:t>
            </w:r>
            <w:r w:rsidRPr="004E115D">
              <w:rPr>
                <w:b/>
                <w:bCs/>
                <w:sz w:val="20"/>
                <w:szCs w:val="20"/>
              </w:rPr>
              <w:t>ÓM V</w:t>
            </w:r>
            <w:r w:rsidRPr="004E115D">
              <w:rPr>
                <w:b/>
                <w:bCs/>
                <w:sz w:val="20"/>
                <w:szCs w:val="20"/>
                <w:lang w:val="vi-VN"/>
              </w:rPr>
              <w:t>ẤN ĐỀ, ĐIỀU, KHOẢN</w:t>
            </w:r>
          </w:p>
        </w:tc>
        <w:tc>
          <w:tcPr>
            <w:tcW w:w="1276"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CH</w:t>
            </w:r>
            <w:r w:rsidRPr="004E115D">
              <w:rPr>
                <w:b/>
                <w:bCs/>
                <w:sz w:val="20"/>
                <w:szCs w:val="20"/>
                <w:lang w:val="vi-VN"/>
              </w:rPr>
              <w:t>Ủ THỂ G</w:t>
            </w:r>
            <w:r w:rsidRPr="004E115D">
              <w:rPr>
                <w:b/>
                <w:bCs/>
                <w:sz w:val="20"/>
                <w:szCs w:val="20"/>
              </w:rPr>
              <w:t>ÓP Ý</w:t>
            </w:r>
          </w:p>
        </w:tc>
        <w:tc>
          <w:tcPr>
            <w:tcW w:w="2977"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N</w:t>
            </w:r>
            <w:r w:rsidRPr="004E115D">
              <w:rPr>
                <w:b/>
                <w:bCs/>
                <w:sz w:val="20"/>
                <w:szCs w:val="20"/>
                <w:lang w:val="vi-VN"/>
              </w:rPr>
              <w:t>ỘI DUNG G</w:t>
            </w:r>
            <w:r w:rsidRPr="004E115D">
              <w:rPr>
                <w:b/>
                <w:bCs/>
                <w:sz w:val="20"/>
                <w:szCs w:val="20"/>
              </w:rPr>
              <w:t>ÓP Ý</w:t>
            </w:r>
          </w:p>
        </w:tc>
        <w:tc>
          <w:tcPr>
            <w:tcW w:w="3402" w:type="dxa"/>
            <w:vAlign w:val="center"/>
          </w:tcPr>
          <w:p w:rsidR="000C4E72" w:rsidRPr="004E115D" w:rsidRDefault="000C4E72" w:rsidP="00630435">
            <w:pPr>
              <w:spacing w:before="120" w:after="120" w:line="240" w:lineRule="auto"/>
              <w:jc w:val="center"/>
              <w:rPr>
                <w:sz w:val="20"/>
                <w:szCs w:val="20"/>
              </w:rPr>
            </w:pPr>
            <w:r w:rsidRPr="004E115D">
              <w:rPr>
                <w:b/>
                <w:bCs/>
                <w:sz w:val="20"/>
                <w:szCs w:val="20"/>
              </w:rPr>
              <w:t>N</w:t>
            </w:r>
            <w:r w:rsidRPr="004E115D">
              <w:rPr>
                <w:b/>
                <w:bCs/>
                <w:sz w:val="20"/>
                <w:szCs w:val="20"/>
                <w:lang w:val="vi-VN"/>
              </w:rPr>
              <w:t>ỘI DUNG TIẾP THU, GIẢI TR</w:t>
            </w:r>
            <w:r w:rsidRPr="004E115D">
              <w:rPr>
                <w:b/>
                <w:bCs/>
                <w:sz w:val="20"/>
                <w:szCs w:val="20"/>
              </w:rPr>
              <w:t>ÌNH</w:t>
            </w:r>
          </w:p>
        </w:tc>
      </w:tr>
      <w:tr w:rsidR="00B66999" w:rsidRPr="004E115D" w:rsidTr="001B1C03">
        <w:tc>
          <w:tcPr>
            <w:tcW w:w="1951" w:type="dxa"/>
            <w:vAlign w:val="center"/>
          </w:tcPr>
          <w:p w:rsidR="00B66999" w:rsidRPr="004E115D" w:rsidRDefault="00B66999" w:rsidP="00727D93">
            <w:pPr>
              <w:spacing w:before="60" w:after="60" w:line="240" w:lineRule="auto"/>
              <w:jc w:val="both"/>
              <w:rPr>
                <w:bCs/>
                <w:spacing w:val="-8"/>
                <w:sz w:val="20"/>
                <w:szCs w:val="20"/>
              </w:rPr>
            </w:pPr>
            <w:r w:rsidRPr="004E115D">
              <w:rPr>
                <w:bCs/>
                <w:spacing w:val="-8"/>
                <w:sz w:val="20"/>
                <w:szCs w:val="20"/>
              </w:rPr>
              <w:t>Về thể thức, kỹ thuật trình bày văn bản</w:t>
            </w:r>
          </w:p>
        </w:tc>
        <w:tc>
          <w:tcPr>
            <w:tcW w:w="1276" w:type="dxa"/>
            <w:vAlign w:val="center"/>
          </w:tcPr>
          <w:p w:rsidR="00B66999" w:rsidRPr="004E115D" w:rsidRDefault="00B66999" w:rsidP="00727D93">
            <w:pPr>
              <w:spacing w:before="120" w:after="120" w:line="240" w:lineRule="auto"/>
              <w:jc w:val="both"/>
              <w:rPr>
                <w:sz w:val="20"/>
                <w:szCs w:val="20"/>
              </w:rPr>
            </w:pPr>
            <w:r w:rsidRPr="004E115D">
              <w:rPr>
                <w:sz w:val="20"/>
                <w:szCs w:val="20"/>
              </w:rPr>
              <w:t>Sở Tư Pháp, Sở Khoa học và Công nghệ</w:t>
            </w:r>
          </w:p>
        </w:tc>
        <w:tc>
          <w:tcPr>
            <w:tcW w:w="2977" w:type="dxa"/>
            <w:vAlign w:val="center"/>
          </w:tcPr>
          <w:p w:rsidR="00B66999" w:rsidRPr="004E115D" w:rsidRDefault="00B66999" w:rsidP="00727D93">
            <w:pPr>
              <w:spacing w:before="120" w:after="120"/>
              <w:jc w:val="both"/>
              <w:rPr>
                <w:color w:val="000000"/>
                <w:sz w:val="20"/>
                <w:szCs w:val="20"/>
              </w:rPr>
            </w:pPr>
            <w:r w:rsidRPr="004E115D">
              <w:rPr>
                <w:color w:val="000000"/>
                <w:sz w:val="20"/>
                <w:szCs w:val="20"/>
              </w:rPr>
              <w:t>Đề nghị cơ quan soạn thảo trình bày văn bản theo đúng mẫu số 20 Phụ lục III ban hành kèm theo Nghị định số 78/2025/NĐ-CP (được sửa đổi, bổ sung bởi Nghị định số 187/2025/NĐ-CP) và quy định về thể thức, kỹ thuật trình bày văn bản QPPL tại Phụ lục I kèm theo Nghị định số 78/2025/NĐ-CP (được sửa đổi, bổ sung bởi Nghị định số 187/2025/NĐ-CP).</w:t>
            </w:r>
          </w:p>
        </w:tc>
        <w:tc>
          <w:tcPr>
            <w:tcW w:w="3402" w:type="dxa"/>
            <w:vAlign w:val="center"/>
          </w:tcPr>
          <w:p w:rsidR="00B66999" w:rsidRPr="004E115D" w:rsidRDefault="00B66999" w:rsidP="00727D93">
            <w:pPr>
              <w:spacing w:before="120" w:after="60" w:line="240" w:lineRule="auto"/>
              <w:jc w:val="both"/>
              <w:rPr>
                <w:rFonts w:eastAsia="Times New Roman" w:cs="Times New Roman"/>
                <w:color w:val="000000"/>
                <w:sz w:val="20"/>
                <w:szCs w:val="20"/>
              </w:rPr>
            </w:pPr>
            <w:r w:rsidRPr="004E115D">
              <w:rPr>
                <w:sz w:val="20"/>
                <w:szCs w:val="20"/>
              </w:rPr>
              <w:t>Thống nhất tiếp thu chỉnh sửa</w:t>
            </w:r>
          </w:p>
        </w:tc>
      </w:tr>
      <w:tr w:rsidR="00880B38" w:rsidRPr="004E115D" w:rsidTr="001B1C03">
        <w:tc>
          <w:tcPr>
            <w:tcW w:w="1951" w:type="dxa"/>
            <w:vAlign w:val="center"/>
          </w:tcPr>
          <w:p w:rsidR="00880B38" w:rsidRPr="004E115D" w:rsidRDefault="00880B38" w:rsidP="00630435">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t>Về nội dung tại khoản 2 Điều 2</w:t>
            </w:r>
            <w:r w:rsidR="00E06F63">
              <w:rPr>
                <w:sz w:val="20"/>
                <w:szCs w:val="20"/>
                <w:lang w:val="nl-NL"/>
              </w:rPr>
              <w:t xml:space="preserve"> Quy chế</w:t>
            </w:r>
          </w:p>
        </w:tc>
        <w:tc>
          <w:tcPr>
            <w:tcW w:w="1276" w:type="dxa"/>
            <w:vAlign w:val="center"/>
          </w:tcPr>
          <w:p w:rsidR="00880B38" w:rsidRPr="004E115D" w:rsidRDefault="00E06F63" w:rsidP="00456401">
            <w:pPr>
              <w:spacing w:before="120" w:after="120" w:line="240" w:lineRule="auto"/>
              <w:jc w:val="both"/>
              <w:rPr>
                <w:sz w:val="20"/>
                <w:szCs w:val="20"/>
              </w:rPr>
            </w:pPr>
            <w:r>
              <w:rPr>
                <w:sz w:val="20"/>
                <w:szCs w:val="20"/>
              </w:rPr>
              <w:t>Sở Tư pháp</w:t>
            </w:r>
          </w:p>
        </w:tc>
        <w:tc>
          <w:tcPr>
            <w:tcW w:w="2977" w:type="dxa"/>
            <w:vAlign w:val="center"/>
          </w:tcPr>
          <w:p w:rsidR="00880B38" w:rsidRPr="00E06F63" w:rsidRDefault="00E06F63" w:rsidP="00E06F63">
            <w:pPr>
              <w:pBdr>
                <w:top w:val="dotted" w:sz="4" w:space="0" w:color="FFFFFF"/>
                <w:left w:val="dotted" w:sz="4" w:space="0" w:color="FFFFFF"/>
                <w:bottom w:val="dotted" w:sz="4" w:space="3" w:color="FFFFFF"/>
                <w:right w:val="dotted" w:sz="4" w:space="0" w:color="FFFFFF"/>
              </w:pBdr>
              <w:spacing w:line="240" w:lineRule="auto"/>
              <w:ind w:firstLine="175"/>
              <w:jc w:val="both"/>
              <w:rPr>
                <w:rFonts w:ascii="13" w:hAnsi="13"/>
                <w:sz w:val="20"/>
                <w:szCs w:val="20"/>
                <w:lang w:val="nl-NL"/>
              </w:rPr>
            </w:pPr>
            <w:r w:rsidRPr="00E06F63">
              <w:rPr>
                <w:sz w:val="20"/>
                <w:szCs w:val="20"/>
                <w:lang w:val="nl-NL"/>
              </w:rPr>
              <w:t xml:space="preserve">Khoản 2 Điều 2 quy định đối tượng áp dụng của dự thảo Quyết định là doanh nghiệp có vốn nhà nước </w:t>
            </w:r>
            <w:r w:rsidRPr="00E06F63">
              <w:rPr>
                <w:sz w:val="20"/>
                <w:szCs w:val="20"/>
                <w:shd w:val="clear" w:color="auto" w:fill="FFFFFF"/>
                <w:lang w:val="nl-NL"/>
              </w:rPr>
              <w:t xml:space="preserve">(doanh nghiệp do Nhà nước nắm giữ trên 50% vốn điều lệ; doanh nghiệp do Nhà nước nắm giữ không quá 50% vốn điều lệ) </w:t>
            </w:r>
            <w:r w:rsidRPr="00E06F63">
              <w:rPr>
                <w:sz w:val="20"/>
                <w:szCs w:val="20"/>
                <w:lang w:val="nl-NL"/>
              </w:rPr>
              <w:t xml:space="preserve">do UBND tỉnh Quảng Trị làm đại diện chủ sở hữu. Theo đó, đề nghị Sở Tài chính xác định lại đối với </w:t>
            </w:r>
            <w:r w:rsidRPr="00E06F63">
              <w:rPr>
                <w:sz w:val="20"/>
                <w:szCs w:val="20"/>
                <w:lang w:val="nl-NL"/>
              </w:rPr>
              <w:lastRenderedPageBreak/>
              <w:t xml:space="preserve">doanh nghiệp có vốn nhà nước </w:t>
            </w:r>
            <w:r w:rsidRPr="00E06F63">
              <w:rPr>
                <w:sz w:val="20"/>
                <w:szCs w:val="20"/>
                <w:shd w:val="clear" w:color="auto" w:fill="FFFFFF"/>
                <w:lang w:val="nl-NL"/>
              </w:rPr>
              <w:t>(doanh nghiệp do Nhà nước nắm giữ trên 50% vốn điều lệ; doanh nghiệp do Nhà nước nắm giữ không quá 50% vốn điều lệ) thì UBND tỉnh làm đại diện chủ sở hữu phần vốn góp hay làm đại diện chủ sở hữu công ty để diễn đạt lại nội dung này cho chính xác. Theo đó đề nghị rà soát để sửa đổi các nội dung tương tự trong toàn dự thảo ví dụ khoản 3 Điều 2 dự thảo…</w:t>
            </w:r>
            <w:r w:rsidRPr="00E06F63">
              <w:rPr>
                <w:sz w:val="20"/>
                <w:szCs w:val="20"/>
                <w:lang w:val="nl-NL"/>
              </w:rPr>
              <w:t xml:space="preserve">  </w:t>
            </w:r>
          </w:p>
        </w:tc>
        <w:tc>
          <w:tcPr>
            <w:tcW w:w="3402" w:type="dxa"/>
            <w:vAlign w:val="center"/>
          </w:tcPr>
          <w:p w:rsidR="00E06F63" w:rsidRPr="00122C24" w:rsidRDefault="00E06F63" w:rsidP="006B12B5">
            <w:pPr>
              <w:spacing w:before="120" w:after="120" w:line="240" w:lineRule="auto"/>
              <w:jc w:val="both"/>
              <w:rPr>
                <w:i/>
                <w:sz w:val="20"/>
                <w:szCs w:val="20"/>
                <w:shd w:val="clear" w:color="auto" w:fill="FFFFFF"/>
                <w:lang w:val="nl-NL"/>
              </w:rPr>
            </w:pPr>
            <w:r>
              <w:rPr>
                <w:sz w:val="20"/>
                <w:szCs w:val="20"/>
              </w:rPr>
              <w:lastRenderedPageBreak/>
              <w:t xml:space="preserve">Tại khoản 1, khoản 2 Điều 33 Nghị định 87/2015/NĐ-CP  quy định về nội dung giám sát tài chính đối với doanh nghiệp có vốn nhà nước bao gồm: </w:t>
            </w:r>
            <w:r w:rsidRPr="00122C24">
              <w:rPr>
                <w:i/>
                <w:sz w:val="20"/>
                <w:szCs w:val="20"/>
              </w:rPr>
              <w:t xml:space="preserve">Doanh nghiệp do </w:t>
            </w:r>
            <w:r w:rsidR="00480138" w:rsidRPr="00122C24">
              <w:rPr>
                <w:i/>
                <w:sz w:val="20"/>
                <w:szCs w:val="20"/>
                <w:shd w:val="clear" w:color="auto" w:fill="FFFFFF"/>
                <w:lang w:val="nl-NL"/>
              </w:rPr>
              <w:t>Nhà nước nắm giữ trên 50% vốn điều lệ; doanh nghiệp do Nhà nước nắm giữ không quá 50% vốn điều lệ</w:t>
            </w:r>
            <w:r w:rsidR="00A906CC" w:rsidRPr="00122C24">
              <w:rPr>
                <w:i/>
                <w:sz w:val="20"/>
                <w:szCs w:val="20"/>
                <w:shd w:val="clear" w:color="auto" w:fill="FFFFFF"/>
                <w:lang w:val="nl-NL"/>
              </w:rPr>
              <w:t>.</w:t>
            </w:r>
          </w:p>
          <w:p w:rsidR="00A906CC" w:rsidRDefault="00A906CC" w:rsidP="00A906CC">
            <w:pPr>
              <w:spacing w:before="120" w:after="120" w:line="240" w:lineRule="auto"/>
              <w:jc w:val="both"/>
              <w:rPr>
                <w:iCs/>
                <w:spacing w:val="-4"/>
                <w:sz w:val="20"/>
                <w:szCs w:val="20"/>
              </w:rPr>
            </w:pPr>
            <w:r>
              <w:rPr>
                <w:sz w:val="20"/>
                <w:szCs w:val="20"/>
                <w:shd w:val="clear" w:color="auto" w:fill="FFFFFF"/>
                <w:lang w:val="nl-NL"/>
              </w:rPr>
              <w:t xml:space="preserve">Điểm b khoản 1 Điều 3 Luật số </w:t>
            </w:r>
            <w:r>
              <w:rPr>
                <w:sz w:val="20"/>
                <w:szCs w:val="20"/>
                <w:shd w:val="clear" w:color="auto" w:fill="FFFFFF"/>
                <w:lang w:val="nl-NL"/>
              </w:rPr>
              <w:lastRenderedPageBreak/>
              <w:t xml:space="preserve">68/2025/QH15 quy định: </w:t>
            </w:r>
            <w:r w:rsidRPr="00122C24">
              <w:rPr>
                <w:i/>
                <w:sz w:val="20"/>
                <w:szCs w:val="20"/>
                <w:shd w:val="clear" w:color="auto" w:fill="FFFFFF"/>
                <w:lang w:val="nl-NL"/>
              </w:rPr>
              <w:t xml:space="preserve">“1. </w:t>
            </w:r>
            <w:r w:rsidRPr="00122C24">
              <w:rPr>
                <w:i/>
                <w:iCs/>
                <w:spacing w:val="-4"/>
                <w:sz w:val="20"/>
                <w:szCs w:val="20"/>
              </w:rPr>
              <w:t>Cơ quan đại diện chủ sở hữu là cơ quan, tổ chức được Chính phủ giao thực hiện quyền, trách nhiệm của đại diện chủ sở hữu nhà nước đối với phần vốn nhà nước tại doanh nghiệp, bao gồm: b. Ủy ban nhân dân cấp tỉnh được Chính phủ giao thực hiện quyền, trách nhiệm của đại diện chủ sở hữu nhà nước</w:t>
            </w:r>
            <w:r>
              <w:rPr>
                <w:iCs/>
                <w:spacing w:val="-4"/>
                <w:sz w:val="20"/>
                <w:szCs w:val="20"/>
              </w:rPr>
              <w:t>”.</w:t>
            </w:r>
          </w:p>
          <w:p w:rsidR="00186EDC" w:rsidRDefault="00186EDC" w:rsidP="00A906CC">
            <w:pPr>
              <w:spacing w:before="120" w:after="120" w:line="240" w:lineRule="auto"/>
              <w:jc w:val="both"/>
              <w:rPr>
                <w:iCs/>
                <w:spacing w:val="-4"/>
                <w:sz w:val="20"/>
                <w:szCs w:val="20"/>
              </w:rPr>
            </w:pPr>
            <w:r>
              <w:rPr>
                <w:iCs/>
                <w:spacing w:val="-4"/>
                <w:sz w:val="20"/>
                <w:szCs w:val="20"/>
              </w:rPr>
              <w:t>Khoản 4</w:t>
            </w:r>
            <w:r>
              <w:rPr>
                <w:sz w:val="20"/>
                <w:szCs w:val="20"/>
                <w:shd w:val="clear" w:color="auto" w:fill="FFFFFF"/>
                <w:lang w:val="nl-NL"/>
              </w:rPr>
              <w:t xml:space="preserve"> Điều 3 Luật số 68/2025/QH15 quy định: </w:t>
            </w:r>
            <w:r w:rsidRPr="00122C24">
              <w:rPr>
                <w:i/>
                <w:sz w:val="20"/>
                <w:szCs w:val="20"/>
                <w:shd w:val="clear" w:color="auto" w:fill="FFFFFF"/>
                <w:lang w:val="nl-NL"/>
              </w:rPr>
              <w:t>“Người đại diện phần vốn nhà nước là cá nhân được cơ quan địa diện chủ sở hữu ủy quyền bằng văn bản để thực hiện quyền, trách nhiệm của đại diện chủ sở hữ nhà nước đối với phần vốn nhà nước đầu tư tại công ty cổ phần.</w:t>
            </w:r>
            <w:r>
              <w:rPr>
                <w:sz w:val="20"/>
                <w:szCs w:val="20"/>
                <w:shd w:val="clear" w:color="auto" w:fill="FFFFFF"/>
                <w:lang w:val="nl-NL"/>
              </w:rPr>
              <w:t>..”</w:t>
            </w:r>
          </w:p>
          <w:p w:rsidR="00A906CC" w:rsidRPr="00A906CC" w:rsidRDefault="00A906CC" w:rsidP="00A906CC">
            <w:pPr>
              <w:spacing w:before="120" w:after="120" w:line="240" w:lineRule="auto"/>
              <w:jc w:val="both"/>
              <w:rPr>
                <w:sz w:val="20"/>
                <w:szCs w:val="20"/>
                <w:shd w:val="clear" w:color="auto" w:fill="FFFFFF"/>
                <w:lang w:val="nl-NL"/>
              </w:rPr>
            </w:pPr>
          </w:p>
        </w:tc>
      </w:tr>
      <w:tr w:rsidR="00B71E3A" w:rsidRPr="004E115D" w:rsidTr="001B1C03">
        <w:tc>
          <w:tcPr>
            <w:tcW w:w="1951" w:type="dxa"/>
            <w:vAlign w:val="center"/>
          </w:tcPr>
          <w:p w:rsidR="00B71E3A" w:rsidRPr="004E115D" w:rsidRDefault="00956F09" w:rsidP="00956F09">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Pr>
                <w:sz w:val="20"/>
                <w:szCs w:val="20"/>
                <w:lang w:val="nl-NL"/>
              </w:rPr>
              <w:lastRenderedPageBreak/>
              <w:t>N</w:t>
            </w:r>
            <w:r w:rsidR="00B71E3A" w:rsidRPr="004E115D">
              <w:rPr>
                <w:sz w:val="20"/>
                <w:szCs w:val="20"/>
                <w:lang w:val="nl-NL"/>
              </w:rPr>
              <w:t>ội dung tại Điều 2</w:t>
            </w:r>
            <w:r w:rsidR="00B71E3A">
              <w:rPr>
                <w:sz w:val="20"/>
                <w:szCs w:val="20"/>
                <w:lang w:val="nl-NL"/>
              </w:rPr>
              <w:t xml:space="preserve"> Quy chế</w:t>
            </w:r>
          </w:p>
        </w:tc>
        <w:tc>
          <w:tcPr>
            <w:tcW w:w="1276" w:type="dxa"/>
            <w:vAlign w:val="center"/>
          </w:tcPr>
          <w:p w:rsidR="00B71E3A" w:rsidRPr="004E115D" w:rsidRDefault="00B71E3A" w:rsidP="00727D93">
            <w:pPr>
              <w:spacing w:before="120" w:after="120" w:line="240" w:lineRule="auto"/>
              <w:jc w:val="both"/>
              <w:rPr>
                <w:sz w:val="20"/>
                <w:szCs w:val="20"/>
              </w:rPr>
            </w:pPr>
            <w:r>
              <w:rPr>
                <w:sz w:val="20"/>
                <w:szCs w:val="20"/>
              </w:rPr>
              <w:t>Sở Tư pháp</w:t>
            </w:r>
          </w:p>
        </w:tc>
        <w:tc>
          <w:tcPr>
            <w:tcW w:w="2977" w:type="dxa"/>
            <w:vAlign w:val="bottom"/>
          </w:tcPr>
          <w:p w:rsidR="00B71E3A" w:rsidRPr="004E115D" w:rsidRDefault="00B71E3A" w:rsidP="00630435">
            <w:pPr>
              <w:pBdr>
                <w:top w:val="dotted" w:sz="4" w:space="0" w:color="FFFFFF"/>
                <w:left w:val="dotted" w:sz="4" w:space="0" w:color="FFFFFF"/>
                <w:bottom w:val="dotted" w:sz="4" w:space="3" w:color="FFFFFF"/>
                <w:right w:val="dotted" w:sz="4" w:space="0" w:color="FFFFFF"/>
              </w:pBdr>
              <w:spacing w:line="240" w:lineRule="auto"/>
              <w:ind w:firstLine="175"/>
              <w:jc w:val="center"/>
              <w:rPr>
                <w:rFonts w:ascii="13" w:hAnsi="13"/>
                <w:sz w:val="20"/>
                <w:szCs w:val="20"/>
                <w:lang w:val="nl-NL"/>
              </w:rPr>
            </w:pPr>
          </w:p>
          <w:p w:rsidR="00B71E3A" w:rsidRPr="00B71E3A" w:rsidRDefault="00B71E3A" w:rsidP="00B71E3A">
            <w:pPr>
              <w:pBdr>
                <w:top w:val="dotted" w:sz="4" w:space="0" w:color="FFFFFF"/>
                <w:left w:val="dotted" w:sz="4" w:space="0" w:color="FFFFFF"/>
                <w:bottom w:val="dotted" w:sz="4" w:space="3" w:color="FFFFFF"/>
                <w:right w:val="dotted" w:sz="4" w:space="0" w:color="FFFFFF"/>
              </w:pBdr>
              <w:spacing w:before="120" w:after="120"/>
              <w:jc w:val="both"/>
              <w:rPr>
                <w:sz w:val="20"/>
                <w:szCs w:val="20"/>
                <w:lang w:val="nl-NL"/>
              </w:rPr>
            </w:pPr>
            <w:r>
              <w:rPr>
                <w:sz w:val="20"/>
                <w:szCs w:val="20"/>
                <w:lang w:val="nl-NL"/>
              </w:rPr>
              <w:t>Khoả</w:t>
            </w:r>
            <w:r w:rsidRPr="00B71E3A">
              <w:rPr>
                <w:sz w:val="20"/>
                <w:szCs w:val="20"/>
                <w:lang w:val="nl-NL"/>
              </w:rPr>
              <w:t>n 4 Điều 2 Nghị định số 87/2015/NĐ-CP quy định: “</w:t>
            </w:r>
            <w:r w:rsidRPr="00B71E3A">
              <w:rPr>
                <w:i/>
                <w:color w:val="000000"/>
                <w:sz w:val="20"/>
                <w:szCs w:val="20"/>
                <w:shd w:val="clear" w:color="auto" w:fill="FFFFFF"/>
                <w:lang w:val="nl-NL"/>
              </w:rPr>
              <w:t>4. Người đại diện phần vốn nhà nước đầu tư tại công ty cổ phần, công ty trách nhiệm hữu hạn hai thành viên trở lên.</w:t>
            </w:r>
            <w:r w:rsidRPr="00B71E3A">
              <w:rPr>
                <w:color w:val="000000"/>
                <w:sz w:val="20"/>
                <w:szCs w:val="20"/>
                <w:shd w:val="clear" w:color="auto" w:fill="FFFFFF"/>
                <w:lang w:val="nl-NL"/>
              </w:rPr>
              <w:t xml:space="preserve">” </w:t>
            </w:r>
            <w:r w:rsidRPr="00B71E3A">
              <w:rPr>
                <w:sz w:val="20"/>
                <w:szCs w:val="20"/>
                <w:lang w:val="nl-NL"/>
              </w:rPr>
              <w:t xml:space="preserve"> </w:t>
            </w:r>
          </w:p>
          <w:p w:rsidR="00B71E3A" w:rsidRPr="00B71E3A" w:rsidRDefault="00B71E3A" w:rsidP="00B71E3A">
            <w:pPr>
              <w:pBdr>
                <w:top w:val="dotted" w:sz="4" w:space="0" w:color="FFFFFF"/>
                <w:left w:val="dotted" w:sz="4" w:space="0" w:color="FFFFFF"/>
                <w:bottom w:val="dotted" w:sz="4" w:space="3" w:color="FFFFFF"/>
                <w:right w:val="dotted" w:sz="4" w:space="0" w:color="FFFFFF"/>
              </w:pBdr>
              <w:spacing w:before="120" w:after="120"/>
              <w:jc w:val="both"/>
              <w:rPr>
                <w:sz w:val="20"/>
                <w:szCs w:val="20"/>
                <w:lang w:val="nl-NL"/>
              </w:rPr>
            </w:pPr>
            <w:r w:rsidRPr="00B71E3A">
              <w:rPr>
                <w:sz w:val="20"/>
                <w:szCs w:val="20"/>
                <w:lang w:val="nl-NL"/>
              </w:rPr>
              <w:t xml:space="preserve">  Tại điểm b khoản 2 Điều 4 dự thảo quy định: “</w:t>
            </w:r>
            <w:r w:rsidRPr="00B71E3A">
              <w:rPr>
                <w:bCs/>
                <w:i/>
                <w:sz w:val="20"/>
                <w:szCs w:val="20"/>
                <w:lang w:val="vi-VN"/>
              </w:rPr>
              <w:t>Đối với doanh nghiệp</w:t>
            </w:r>
            <w:r w:rsidRPr="00B71E3A">
              <w:rPr>
                <w:i/>
                <w:sz w:val="20"/>
                <w:szCs w:val="20"/>
                <w:lang w:val="vi-VN"/>
              </w:rPr>
              <w:t xml:space="preserve"> cổ phần có vốn góp của Nhà nước thực hiện chức năng giám sát thông qua Người đại diện.</w:t>
            </w:r>
            <w:r w:rsidRPr="00B71E3A">
              <w:rPr>
                <w:sz w:val="20"/>
                <w:szCs w:val="20"/>
                <w:lang w:val="nl-NL"/>
              </w:rPr>
              <w:t xml:space="preserve">”. Như vậy, nội dung này chỉ quy định việc giám sát thông qua người đại diện đối với phần vốn góp tại doanh nghiệp cổ phần. Vậy đối với phần vốn góp tại </w:t>
            </w:r>
            <w:r w:rsidRPr="00B71E3A">
              <w:rPr>
                <w:color w:val="000000"/>
                <w:sz w:val="20"/>
                <w:szCs w:val="20"/>
                <w:shd w:val="clear" w:color="auto" w:fill="FFFFFF"/>
                <w:lang w:val="nl-NL"/>
              </w:rPr>
              <w:t>công ty trách nhiệm hữu hạn hai thành viên trở lên thì việc giám sát sẽ thực hiện như thế nào, đề nghị Sở Tài chính xem xét và giải trình thêm.</w:t>
            </w:r>
            <w:r w:rsidRPr="00B71E3A">
              <w:rPr>
                <w:sz w:val="20"/>
                <w:szCs w:val="20"/>
                <w:lang w:val="nl-NL"/>
              </w:rPr>
              <w:t xml:space="preserve"> </w:t>
            </w:r>
          </w:p>
          <w:p w:rsidR="00B71E3A" w:rsidRPr="004E115D" w:rsidRDefault="00B71E3A" w:rsidP="00EF3FFC">
            <w:pPr>
              <w:pBdr>
                <w:top w:val="dotted" w:sz="4" w:space="0" w:color="FFFFFF"/>
                <w:left w:val="dotted" w:sz="4" w:space="0" w:color="FFFFFF"/>
                <w:bottom w:val="dotted" w:sz="4" w:space="3" w:color="FFFFFF"/>
                <w:right w:val="dotted" w:sz="4" w:space="0" w:color="FFFFFF"/>
              </w:pBdr>
              <w:spacing w:line="240" w:lineRule="auto"/>
              <w:ind w:firstLine="175"/>
              <w:jc w:val="both"/>
              <w:rPr>
                <w:rFonts w:ascii="13" w:hAnsi="13"/>
                <w:sz w:val="20"/>
                <w:szCs w:val="20"/>
                <w:lang w:val="nl-NL"/>
              </w:rPr>
            </w:pPr>
          </w:p>
        </w:tc>
        <w:tc>
          <w:tcPr>
            <w:tcW w:w="3402" w:type="dxa"/>
            <w:vAlign w:val="center"/>
          </w:tcPr>
          <w:p w:rsidR="00B71E3A" w:rsidRDefault="00B71E3A" w:rsidP="000A1DC3">
            <w:pPr>
              <w:spacing w:before="120" w:after="120" w:line="240" w:lineRule="auto"/>
              <w:jc w:val="both"/>
              <w:rPr>
                <w:iCs/>
                <w:spacing w:val="-4"/>
                <w:sz w:val="20"/>
                <w:szCs w:val="20"/>
              </w:rPr>
            </w:pPr>
            <w:r>
              <w:rPr>
                <w:iCs/>
                <w:spacing w:val="-4"/>
                <w:sz w:val="20"/>
                <w:szCs w:val="20"/>
              </w:rPr>
              <w:t xml:space="preserve">Không tiếp thu, </w:t>
            </w:r>
            <w:r w:rsidR="000A1DC3">
              <w:rPr>
                <w:iCs/>
                <w:spacing w:val="-4"/>
                <w:sz w:val="20"/>
                <w:szCs w:val="20"/>
              </w:rPr>
              <w:t>giải trình như sau:</w:t>
            </w:r>
          </w:p>
          <w:p w:rsidR="000A1DC3" w:rsidRPr="000A1DC3" w:rsidRDefault="000A1DC3" w:rsidP="000A1DC3">
            <w:pPr>
              <w:spacing w:before="120" w:after="120" w:line="240" w:lineRule="auto"/>
              <w:jc w:val="both"/>
              <w:rPr>
                <w:sz w:val="20"/>
                <w:szCs w:val="20"/>
              </w:rPr>
            </w:pPr>
            <w:r>
              <w:rPr>
                <w:iCs/>
                <w:spacing w:val="-4"/>
                <w:sz w:val="20"/>
                <w:szCs w:val="20"/>
              </w:rPr>
              <w:t xml:space="preserve">Hiện nay, tỉnh Quảng Trị đang quản lý 10 Công ty </w:t>
            </w:r>
            <w:r w:rsidRPr="000A1DC3">
              <w:rPr>
                <w:sz w:val="20"/>
                <w:szCs w:val="20"/>
                <w:lang w:val="vi-VN"/>
              </w:rPr>
              <w:t>cổ phần có vốn góp của Nhà nướ</w:t>
            </w:r>
            <w:r>
              <w:rPr>
                <w:sz w:val="20"/>
                <w:szCs w:val="20"/>
              </w:rPr>
              <w:t xml:space="preserve">c, không có vốn góp tại </w:t>
            </w:r>
            <w:r w:rsidRPr="000A1DC3">
              <w:rPr>
                <w:color w:val="000000"/>
                <w:sz w:val="20"/>
                <w:szCs w:val="20"/>
                <w:shd w:val="clear" w:color="auto" w:fill="FFFFFF"/>
                <w:lang w:val="nl-NL"/>
              </w:rPr>
              <w:t>công ty trách nhiệm hữu hạn hai thành viên trở lên nên Dự thảo Quy chế kh</w:t>
            </w:r>
            <w:r>
              <w:rPr>
                <w:color w:val="000000"/>
                <w:sz w:val="20"/>
                <w:szCs w:val="20"/>
                <w:shd w:val="clear" w:color="auto" w:fill="FFFFFF"/>
                <w:lang w:val="nl-NL"/>
              </w:rPr>
              <w:t>ông</w:t>
            </w:r>
            <w:r w:rsidRPr="000A1DC3">
              <w:rPr>
                <w:color w:val="000000"/>
                <w:sz w:val="20"/>
                <w:szCs w:val="20"/>
                <w:shd w:val="clear" w:color="auto" w:fill="FFFFFF"/>
                <w:lang w:val="nl-NL"/>
              </w:rPr>
              <w:t xml:space="preserve"> quy định</w:t>
            </w:r>
            <w:r>
              <w:rPr>
                <w:color w:val="000000"/>
                <w:sz w:val="20"/>
                <w:szCs w:val="20"/>
                <w:shd w:val="clear" w:color="auto" w:fill="FFFFFF"/>
                <w:lang w:val="nl-NL"/>
              </w:rPr>
              <w:t>.</w:t>
            </w:r>
          </w:p>
        </w:tc>
      </w:tr>
      <w:tr w:rsidR="00925353" w:rsidRPr="004E115D" w:rsidTr="001B1C03">
        <w:tc>
          <w:tcPr>
            <w:tcW w:w="1951" w:type="dxa"/>
            <w:vMerge w:val="restart"/>
            <w:vAlign w:val="center"/>
          </w:tcPr>
          <w:p w:rsidR="00925353" w:rsidRPr="004E115D" w:rsidRDefault="00925353" w:rsidP="00956F09">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Pr>
                <w:sz w:val="20"/>
                <w:szCs w:val="20"/>
                <w:lang w:val="nl-NL"/>
              </w:rPr>
              <w:t>N</w:t>
            </w:r>
            <w:r w:rsidRPr="004E115D">
              <w:rPr>
                <w:sz w:val="20"/>
                <w:szCs w:val="20"/>
                <w:lang w:val="nl-NL"/>
              </w:rPr>
              <w:t>ội dung Điề</w:t>
            </w:r>
            <w:r>
              <w:rPr>
                <w:sz w:val="20"/>
                <w:szCs w:val="20"/>
                <w:lang w:val="nl-NL"/>
              </w:rPr>
              <w:t>u 4 Quy chế</w:t>
            </w:r>
          </w:p>
        </w:tc>
        <w:tc>
          <w:tcPr>
            <w:tcW w:w="1276" w:type="dxa"/>
            <w:vMerge w:val="restart"/>
            <w:vAlign w:val="center"/>
          </w:tcPr>
          <w:p w:rsidR="00925353" w:rsidRPr="004E115D" w:rsidRDefault="00925353" w:rsidP="00727D93">
            <w:pPr>
              <w:spacing w:before="120" w:after="120" w:line="240" w:lineRule="auto"/>
              <w:jc w:val="both"/>
              <w:rPr>
                <w:sz w:val="20"/>
                <w:szCs w:val="20"/>
              </w:rPr>
            </w:pPr>
            <w:r>
              <w:rPr>
                <w:sz w:val="20"/>
                <w:szCs w:val="20"/>
              </w:rPr>
              <w:t>Sở Tư pháp</w:t>
            </w:r>
          </w:p>
        </w:tc>
        <w:tc>
          <w:tcPr>
            <w:tcW w:w="2977" w:type="dxa"/>
            <w:vAlign w:val="bottom"/>
          </w:tcPr>
          <w:p w:rsidR="00925353" w:rsidRPr="00B2059F" w:rsidRDefault="00925353" w:rsidP="00B2059F">
            <w:pPr>
              <w:pBdr>
                <w:top w:val="dotted" w:sz="4" w:space="0" w:color="FFFFFF"/>
                <w:left w:val="dotted" w:sz="4" w:space="0" w:color="FFFFFF"/>
                <w:bottom w:val="dotted" w:sz="4" w:space="3" w:color="FFFFFF"/>
                <w:right w:val="dotted" w:sz="4" w:space="0" w:color="FFFFFF"/>
              </w:pBdr>
              <w:spacing w:line="240" w:lineRule="auto"/>
              <w:ind w:firstLine="175"/>
              <w:jc w:val="both"/>
              <w:rPr>
                <w:rFonts w:ascii="13" w:hAnsi="13"/>
                <w:sz w:val="20"/>
                <w:szCs w:val="20"/>
                <w:lang w:val="nl-NL"/>
              </w:rPr>
            </w:pPr>
            <w:r w:rsidRPr="00B2059F">
              <w:rPr>
                <w:spacing w:val="-4"/>
                <w:sz w:val="20"/>
                <w:szCs w:val="20"/>
                <w:lang w:val="nl-NL"/>
              </w:rPr>
              <w:t>Đề nghị xem lại việc sử dụng cụm từ “Đại hội cổ đông” tại điểm b khoản 2 Điều 4 dự thảo vì Luật Doanh nghiệp số 59/2020/QH14 chỉ quy định về Đại hội đồng cổ đông (không quy định về đại hội cổ đông</w:t>
            </w:r>
          </w:p>
        </w:tc>
        <w:tc>
          <w:tcPr>
            <w:tcW w:w="3402" w:type="dxa"/>
            <w:vAlign w:val="center"/>
          </w:tcPr>
          <w:p w:rsidR="00925353" w:rsidRDefault="00925353" w:rsidP="00956F09">
            <w:pPr>
              <w:spacing w:before="120" w:after="120" w:line="240" w:lineRule="auto"/>
              <w:jc w:val="center"/>
              <w:rPr>
                <w:iCs/>
                <w:spacing w:val="-4"/>
                <w:sz w:val="20"/>
                <w:szCs w:val="20"/>
              </w:rPr>
            </w:pPr>
            <w:r>
              <w:rPr>
                <w:iCs/>
                <w:spacing w:val="-4"/>
                <w:sz w:val="20"/>
                <w:szCs w:val="20"/>
              </w:rPr>
              <w:t>Tiếp thu thống nhất chỉnh sửa</w:t>
            </w:r>
          </w:p>
        </w:tc>
      </w:tr>
      <w:tr w:rsidR="00925353" w:rsidRPr="004E115D" w:rsidTr="001B1C03">
        <w:tc>
          <w:tcPr>
            <w:tcW w:w="1951" w:type="dxa"/>
            <w:vMerge/>
            <w:vAlign w:val="center"/>
          </w:tcPr>
          <w:p w:rsidR="00925353" w:rsidRDefault="00925353" w:rsidP="00956F09">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p>
        </w:tc>
        <w:tc>
          <w:tcPr>
            <w:tcW w:w="1276" w:type="dxa"/>
            <w:vMerge/>
            <w:vAlign w:val="center"/>
          </w:tcPr>
          <w:p w:rsidR="00925353" w:rsidRDefault="00925353" w:rsidP="00727D93">
            <w:pPr>
              <w:spacing w:before="120" w:after="120" w:line="240" w:lineRule="auto"/>
              <w:jc w:val="both"/>
              <w:rPr>
                <w:sz w:val="20"/>
                <w:szCs w:val="20"/>
              </w:rPr>
            </w:pPr>
          </w:p>
        </w:tc>
        <w:tc>
          <w:tcPr>
            <w:tcW w:w="2977" w:type="dxa"/>
            <w:vAlign w:val="bottom"/>
          </w:tcPr>
          <w:p w:rsidR="00925353" w:rsidRPr="00B2059F" w:rsidRDefault="00925353" w:rsidP="00B2059F">
            <w:pPr>
              <w:pBdr>
                <w:top w:val="dotted" w:sz="4" w:space="0" w:color="FFFFFF"/>
                <w:left w:val="dotted" w:sz="4" w:space="0" w:color="FFFFFF"/>
                <w:bottom w:val="dotted" w:sz="4" w:space="3" w:color="FFFFFF"/>
                <w:right w:val="dotted" w:sz="4" w:space="0" w:color="FFFFFF"/>
              </w:pBdr>
              <w:spacing w:line="240" w:lineRule="auto"/>
              <w:ind w:firstLine="175"/>
              <w:jc w:val="both"/>
              <w:rPr>
                <w:spacing w:val="-4"/>
                <w:sz w:val="20"/>
                <w:szCs w:val="20"/>
                <w:lang w:val="nl-NL"/>
              </w:rPr>
            </w:pPr>
            <w:r w:rsidRPr="00925353">
              <w:rPr>
                <w:sz w:val="20"/>
                <w:szCs w:val="20"/>
                <w:lang w:val="nl-NL"/>
              </w:rPr>
              <w:t>Đề nghị căn cứ điểm e khoản 1 Điều 12 Nghị định số 87/2025/NĐ-CP để quy định mốc báo cáo Bộ Tài chính tại điểm f khoản 2 Điều 4 dự thảo cho phù hợp</w:t>
            </w:r>
          </w:p>
        </w:tc>
        <w:tc>
          <w:tcPr>
            <w:tcW w:w="3402" w:type="dxa"/>
            <w:vAlign w:val="center"/>
          </w:tcPr>
          <w:p w:rsidR="00925353" w:rsidRPr="00E22FF8" w:rsidRDefault="00A46E33" w:rsidP="00A46E33">
            <w:pPr>
              <w:spacing w:before="120" w:after="120" w:line="240" w:lineRule="auto"/>
              <w:jc w:val="center"/>
              <w:rPr>
                <w:iCs/>
                <w:spacing w:val="-4"/>
                <w:sz w:val="20"/>
                <w:szCs w:val="20"/>
              </w:rPr>
            </w:pPr>
            <w:r>
              <w:rPr>
                <w:iCs/>
                <w:spacing w:val="-4"/>
                <w:sz w:val="20"/>
                <w:szCs w:val="20"/>
              </w:rPr>
              <w:t>Tiếp thu thống nhất chỉnh sửa</w:t>
            </w:r>
          </w:p>
        </w:tc>
      </w:tr>
      <w:tr w:rsidR="00925353" w:rsidRPr="004E115D" w:rsidTr="00F4221D">
        <w:tc>
          <w:tcPr>
            <w:tcW w:w="1951" w:type="dxa"/>
            <w:vAlign w:val="center"/>
          </w:tcPr>
          <w:p w:rsidR="00925353" w:rsidRDefault="00335688" w:rsidP="00017301">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Pr>
                <w:sz w:val="20"/>
                <w:szCs w:val="20"/>
                <w:lang w:val="nl-NL"/>
              </w:rPr>
              <w:lastRenderedPageBreak/>
              <w:t>N</w:t>
            </w:r>
            <w:r w:rsidRPr="004E115D">
              <w:rPr>
                <w:sz w:val="20"/>
                <w:szCs w:val="20"/>
                <w:lang w:val="nl-NL"/>
              </w:rPr>
              <w:t>ội dung Điề</w:t>
            </w:r>
            <w:r>
              <w:rPr>
                <w:sz w:val="20"/>
                <w:szCs w:val="20"/>
                <w:lang w:val="nl-NL"/>
              </w:rPr>
              <w:t xml:space="preserve">u </w:t>
            </w:r>
            <w:r w:rsidR="00017301">
              <w:rPr>
                <w:sz w:val="20"/>
                <w:szCs w:val="20"/>
                <w:lang w:val="nl-NL"/>
              </w:rPr>
              <w:t>7, Điều 18</w:t>
            </w:r>
            <w:r>
              <w:rPr>
                <w:sz w:val="20"/>
                <w:szCs w:val="20"/>
                <w:lang w:val="nl-NL"/>
              </w:rPr>
              <w:t xml:space="preserve"> Quy chế</w:t>
            </w:r>
          </w:p>
        </w:tc>
        <w:tc>
          <w:tcPr>
            <w:tcW w:w="1276" w:type="dxa"/>
            <w:vAlign w:val="center"/>
          </w:tcPr>
          <w:p w:rsidR="00925353" w:rsidRDefault="00335688" w:rsidP="00727D93">
            <w:pPr>
              <w:spacing w:before="120" w:after="120" w:line="240" w:lineRule="auto"/>
              <w:jc w:val="both"/>
              <w:rPr>
                <w:sz w:val="20"/>
                <w:szCs w:val="20"/>
              </w:rPr>
            </w:pPr>
            <w:r>
              <w:rPr>
                <w:sz w:val="20"/>
                <w:szCs w:val="20"/>
              </w:rPr>
              <w:t>Sở Tư pháp</w:t>
            </w:r>
          </w:p>
        </w:tc>
        <w:tc>
          <w:tcPr>
            <w:tcW w:w="2977" w:type="dxa"/>
            <w:vAlign w:val="center"/>
          </w:tcPr>
          <w:p w:rsidR="00925353" w:rsidRPr="00B2059F" w:rsidRDefault="00335688" w:rsidP="00F4221D">
            <w:pPr>
              <w:pBdr>
                <w:top w:val="dotted" w:sz="4" w:space="0" w:color="FFFFFF"/>
                <w:left w:val="dotted" w:sz="4" w:space="0" w:color="FFFFFF"/>
                <w:bottom w:val="dotted" w:sz="4" w:space="3" w:color="FFFFFF"/>
                <w:right w:val="dotted" w:sz="4" w:space="0" w:color="FFFFFF"/>
              </w:pBdr>
              <w:spacing w:line="240" w:lineRule="auto"/>
              <w:jc w:val="center"/>
              <w:rPr>
                <w:spacing w:val="-4"/>
                <w:sz w:val="20"/>
                <w:szCs w:val="20"/>
                <w:lang w:val="nl-NL"/>
              </w:rPr>
            </w:pPr>
            <w:r w:rsidRPr="00335688">
              <w:rPr>
                <w:rFonts w:cs="Times New Roman"/>
                <w:i/>
                <w:color w:val="000000"/>
                <w:sz w:val="20"/>
                <w:szCs w:val="20"/>
                <w:shd w:val="clear" w:color="auto" w:fill="FFFFFF"/>
              </w:rPr>
              <w:t>Đề nghị giải trình căn cứ nào để quy định nội dung “Hằng năm chủ sở hữu thực hiện giám sát tại doanh nghiệp ít nhất là một (01) lần/năm.” tại khoản 1 Điều 7 và khoản 6 Điều 18 dự thảo</w:t>
            </w:r>
          </w:p>
        </w:tc>
        <w:tc>
          <w:tcPr>
            <w:tcW w:w="3402" w:type="dxa"/>
            <w:vAlign w:val="center"/>
          </w:tcPr>
          <w:p w:rsidR="00925353" w:rsidRPr="00417F0A" w:rsidRDefault="00017301" w:rsidP="00AB094E">
            <w:pPr>
              <w:spacing w:before="120" w:after="120" w:line="240" w:lineRule="auto"/>
              <w:jc w:val="center"/>
              <w:rPr>
                <w:rFonts w:cs="Times New Roman"/>
                <w:iCs/>
                <w:spacing w:val="-4"/>
                <w:sz w:val="20"/>
                <w:szCs w:val="20"/>
              </w:rPr>
            </w:pPr>
            <w:bookmarkStart w:id="0" w:name="diem_k_1_12"/>
            <w:r w:rsidRPr="00417F0A">
              <w:rPr>
                <w:rFonts w:cs="Times New Roman"/>
                <w:color w:val="000000"/>
                <w:sz w:val="20"/>
                <w:szCs w:val="20"/>
                <w:shd w:val="clear" w:color="auto" w:fill="FFFFFF"/>
              </w:rPr>
              <w:t>Điể</w:t>
            </w:r>
            <w:r w:rsidR="00417F0A" w:rsidRPr="00417F0A">
              <w:rPr>
                <w:rFonts w:cs="Times New Roman"/>
                <w:color w:val="000000"/>
                <w:sz w:val="20"/>
                <w:szCs w:val="20"/>
                <w:shd w:val="clear" w:color="auto" w:fill="FFFFFF"/>
              </w:rPr>
              <w:t>m</w:t>
            </w:r>
            <w:r w:rsidRPr="00417F0A">
              <w:rPr>
                <w:rFonts w:cs="Times New Roman"/>
                <w:color w:val="000000"/>
                <w:sz w:val="20"/>
                <w:szCs w:val="20"/>
                <w:shd w:val="clear" w:color="auto" w:fill="FFFFFF"/>
              </w:rPr>
              <w:t xml:space="preserve"> k Điều 12</w:t>
            </w:r>
            <w:r w:rsidRPr="00417F0A">
              <w:rPr>
                <w:rFonts w:cs="Times New Roman"/>
                <w:sz w:val="20"/>
                <w:szCs w:val="20"/>
                <w:lang w:val="nl-NL"/>
              </w:rPr>
              <w:t xml:space="preserve"> Nghị định số 87/2025/NĐ-CP quy định về </w:t>
            </w:r>
            <w:r w:rsidR="001B62A1" w:rsidRPr="00417F0A">
              <w:rPr>
                <w:rFonts w:cs="Times New Roman"/>
                <w:sz w:val="20"/>
                <w:szCs w:val="20"/>
                <w:lang w:val="nl-NL"/>
              </w:rPr>
              <w:t xml:space="preserve">trách nhiệm của cơ quan đại diện chủ sở hữu về </w:t>
            </w:r>
            <w:r w:rsidRPr="00417F0A">
              <w:rPr>
                <w:rFonts w:cs="Times New Roman"/>
                <w:sz w:val="20"/>
                <w:szCs w:val="20"/>
                <w:lang w:val="nl-NL"/>
              </w:rPr>
              <w:t>tổ chức giám sát</w:t>
            </w:r>
            <w:r w:rsidR="001B62A1" w:rsidRPr="00417F0A">
              <w:rPr>
                <w:rFonts w:cs="Times New Roman"/>
                <w:sz w:val="20"/>
                <w:szCs w:val="20"/>
                <w:lang w:val="nl-NL"/>
              </w:rPr>
              <w:t>:</w:t>
            </w:r>
            <w:r w:rsidRPr="00417F0A">
              <w:rPr>
                <w:rFonts w:cs="Times New Roman"/>
                <w:color w:val="000000"/>
                <w:sz w:val="20"/>
                <w:szCs w:val="20"/>
                <w:shd w:val="clear" w:color="auto" w:fill="FFFFFF"/>
              </w:rPr>
              <w:t xml:space="preserve"> </w:t>
            </w:r>
            <w:r w:rsidR="001B62A1" w:rsidRPr="00417F0A">
              <w:rPr>
                <w:rFonts w:cs="Times New Roman"/>
                <w:i/>
                <w:color w:val="000000"/>
                <w:sz w:val="20"/>
                <w:szCs w:val="20"/>
                <w:shd w:val="clear" w:color="auto" w:fill="FFFFFF"/>
              </w:rPr>
              <w:t>“</w:t>
            </w:r>
            <w:r w:rsidRPr="00417F0A">
              <w:rPr>
                <w:rFonts w:cs="Times New Roman"/>
                <w:i/>
                <w:color w:val="000000"/>
                <w:sz w:val="20"/>
                <w:szCs w:val="20"/>
                <w:shd w:val="clear" w:color="auto" w:fill="FFFFFF"/>
              </w:rPr>
              <w:t>Lập Báo cáo kết quả giám sát tài chính định kỳ sáu (06) tháng và hằng năm gửi Bộ Tài chính kèm theo báo cáo giám sát tài chính của từng doanh nghiệp. Báo cáo 6 tháng gửi trước ngày 31 tháng 8 của năm báo cáo; báo cáo năm gửi trước ngày 31 tháng 5 của năm tiếp theo. Cơ quan đại diện chủ sở hữu chịu trách nhiệm về tính trung thực, chính xác của kết quả giám sát tài chính doanh nghiệp do mình quyết định thành lập hoặc được giao quản lý</w:t>
            </w:r>
            <w:r w:rsidR="001B62A1" w:rsidRPr="00417F0A">
              <w:rPr>
                <w:rFonts w:cs="Times New Roman"/>
                <w:i/>
                <w:color w:val="000000"/>
                <w:sz w:val="20"/>
                <w:szCs w:val="20"/>
                <w:shd w:val="clear" w:color="auto" w:fill="FFFFFF"/>
              </w:rPr>
              <w:t>”</w:t>
            </w:r>
            <w:r w:rsidRPr="00417F0A">
              <w:rPr>
                <w:rFonts w:cs="Times New Roman"/>
                <w:color w:val="000000"/>
                <w:sz w:val="20"/>
                <w:szCs w:val="20"/>
                <w:shd w:val="clear" w:color="auto" w:fill="FFFFFF"/>
              </w:rPr>
              <w:t>;</w:t>
            </w:r>
            <w:bookmarkEnd w:id="0"/>
            <w:r w:rsidR="00F4221D">
              <w:rPr>
                <w:rFonts w:cs="Times New Roman"/>
                <w:color w:val="000000"/>
                <w:sz w:val="20"/>
                <w:szCs w:val="20"/>
                <w:shd w:val="clear" w:color="auto" w:fill="FFFFFF"/>
              </w:rPr>
              <w:t xml:space="preserve"> Đồng thời lập kế hoạch giám sát hàng năm tùy vào tình hình thực tế mà </w:t>
            </w:r>
            <w:r w:rsidR="00AB094E">
              <w:rPr>
                <w:rFonts w:cs="Times New Roman"/>
                <w:color w:val="000000"/>
                <w:sz w:val="20"/>
                <w:szCs w:val="20"/>
                <w:shd w:val="clear" w:color="auto" w:fill="FFFFFF"/>
              </w:rPr>
              <w:t xml:space="preserve">thực hiện </w:t>
            </w:r>
            <w:r w:rsidR="00F4221D">
              <w:rPr>
                <w:rFonts w:cs="Times New Roman"/>
                <w:color w:val="000000"/>
                <w:sz w:val="20"/>
                <w:szCs w:val="20"/>
                <w:shd w:val="clear" w:color="auto" w:fill="FFFFFF"/>
              </w:rPr>
              <w:t>giám sát Quý</w:t>
            </w:r>
            <w:r w:rsidR="00AB094E">
              <w:rPr>
                <w:rFonts w:cs="Times New Roman"/>
                <w:color w:val="000000"/>
                <w:sz w:val="20"/>
                <w:szCs w:val="20"/>
                <w:shd w:val="clear" w:color="auto" w:fill="FFFFFF"/>
              </w:rPr>
              <w:t xml:space="preserve"> 1 lần</w:t>
            </w:r>
            <w:r w:rsidR="00F4221D">
              <w:rPr>
                <w:rFonts w:cs="Times New Roman"/>
                <w:color w:val="000000"/>
                <w:sz w:val="20"/>
                <w:szCs w:val="20"/>
                <w:shd w:val="clear" w:color="auto" w:fill="FFFFFF"/>
              </w:rPr>
              <w:t xml:space="preserve"> hoặc 6 tháng 1 lần hoặc giám sát 1 năm 1 lần, trường hợp thua lỗ ngoài giám sát t</w:t>
            </w:r>
            <w:r w:rsidR="00AB094E">
              <w:rPr>
                <w:rFonts w:cs="Times New Roman"/>
                <w:color w:val="000000"/>
                <w:sz w:val="20"/>
                <w:szCs w:val="20"/>
                <w:shd w:val="clear" w:color="auto" w:fill="FFFFFF"/>
              </w:rPr>
              <w:t>ài</w:t>
            </w:r>
            <w:r w:rsidR="00F4221D">
              <w:rPr>
                <w:rFonts w:cs="Times New Roman"/>
                <w:color w:val="000000"/>
                <w:sz w:val="20"/>
                <w:szCs w:val="20"/>
                <w:shd w:val="clear" w:color="auto" w:fill="FFFFFF"/>
              </w:rPr>
              <w:t xml:space="preserve"> chính còn thực hiện giám sát đặc biệt….</w:t>
            </w:r>
          </w:p>
        </w:tc>
      </w:tr>
      <w:tr w:rsidR="00C048DA" w:rsidRPr="004E115D" w:rsidTr="00F4221D">
        <w:tc>
          <w:tcPr>
            <w:tcW w:w="1951" w:type="dxa"/>
            <w:vAlign w:val="center"/>
          </w:tcPr>
          <w:p w:rsidR="00C048DA" w:rsidRPr="004E115D" w:rsidRDefault="00C048DA" w:rsidP="00727D93">
            <w:pPr>
              <w:pBdr>
                <w:top w:val="dotted" w:sz="4" w:space="0" w:color="FFFFFF"/>
                <w:left w:val="dotted" w:sz="4" w:space="0" w:color="FFFFFF"/>
                <w:bottom w:val="dotted" w:sz="4" w:space="3" w:color="FFFFFF"/>
                <w:right w:val="dotted" w:sz="4" w:space="0" w:color="FFFFFF"/>
              </w:pBdr>
              <w:spacing w:line="240" w:lineRule="auto"/>
              <w:jc w:val="center"/>
              <w:rPr>
                <w:sz w:val="20"/>
                <w:szCs w:val="20"/>
                <w:lang w:val="nl-NL"/>
              </w:rPr>
            </w:pPr>
            <w:r w:rsidRPr="004E115D">
              <w:rPr>
                <w:sz w:val="20"/>
                <w:szCs w:val="20"/>
                <w:lang w:val="nl-NL"/>
              </w:rPr>
              <w:t>Các nội dung cần thống nhất trong dự thảo</w:t>
            </w:r>
          </w:p>
        </w:tc>
        <w:tc>
          <w:tcPr>
            <w:tcW w:w="1276" w:type="dxa"/>
            <w:vAlign w:val="center"/>
          </w:tcPr>
          <w:p w:rsidR="00C048DA" w:rsidRPr="004E115D" w:rsidRDefault="00C048DA" w:rsidP="00727D93">
            <w:pPr>
              <w:spacing w:before="120" w:after="120" w:line="240" w:lineRule="auto"/>
              <w:rPr>
                <w:sz w:val="20"/>
                <w:szCs w:val="20"/>
              </w:rPr>
            </w:pPr>
            <w:r w:rsidRPr="004E115D">
              <w:rPr>
                <w:sz w:val="20"/>
                <w:szCs w:val="20"/>
              </w:rPr>
              <w:t>Sở Tư Pháp</w:t>
            </w:r>
          </w:p>
        </w:tc>
        <w:tc>
          <w:tcPr>
            <w:tcW w:w="2977" w:type="dxa"/>
            <w:vAlign w:val="center"/>
          </w:tcPr>
          <w:p w:rsidR="00C048DA" w:rsidRPr="00335688" w:rsidRDefault="00C048DA" w:rsidP="00A6111B">
            <w:pPr>
              <w:pBdr>
                <w:top w:val="dotted" w:sz="4" w:space="0" w:color="FFFFFF"/>
                <w:left w:val="dotted" w:sz="4" w:space="0" w:color="FFFFFF"/>
                <w:bottom w:val="dotted" w:sz="4" w:space="3" w:color="FFFFFF"/>
                <w:right w:val="dotted" w:sz="4" w:space="0" w:color="FFFFFF"/>
              </w:pBdr>
              <w:spacing w:line="240" w:lineRule="auto"/>
              <w:jc w:val="both"/>
              <w:rPr>
                <w:rFonts w:cs="Times New Roman"/>
                <w:i/>
                <w:color w:val="000000"/>
                <w:sz w:val="20"/>
                <w:szCs w:val="20"/>
                <w:shd w:val="clear" w:color="auto" w:fill="FFFFFF"/>
              </w:rPr>
            </w:pPr>
            <w:r w:rsidRPr="00C048DA">
              <w:rPr>
                <w:color w:val="000000"/>
                <w:sz w:val="20"/>
                <w:szCs w:val="20"/>
                <w:lang w:val="nl-NL"/>
              </w:rPr>
              <w:t xml:space="preserve">Một số nội dung tại các điều bị trùng lặp và thiếu thống nhất, ví dụ như việc quy định đối tượng là </w:t>
            </w:r>
            <w:r w:rsidRPr="00C048DA">
              <w:rPr>
                <w:sz w:val="20"/>
                <w:szCs w:val="20"/>
                <w:lang w:val="vi-VN" w:eastAsia="vi-VN"/>
              </w:rPr>
              <w:t>Hội đồng thành viên (Chủ tịch Công ty), Tổng giám đốc hoặc Giám đốc doanh nghiệp thuộc diện giám sát tài chính đặc biệt</w:t>
            </w:r>
            <w:r w:rsidRPr="00C048DA">
              <w:rPr>
                <w:sz w:val="20"/>
                <w:szCs w:val="20"/>
                <w:lang w:val="nl-NL" w:eastAsia="vi-VN"/>
              </w:rPr>
              <w:t xml:space="preserve"> tại khoản 1 Điều 12 dự thảo với đối tượng là </w:t>
            </w:r>
            <w:r w:rsidRPr="00C048DA">
              <w:rPr>
                <w:sz w:val="20"/>
                <w:szCs w:val="20"/>
                <w:lang w:val="vi-VN" w:eastAsia="vi-VN"/>
              </w:rPr>
              <w:t xml:space="preserve">Chủ tịch công ty và Giám đốc </w:t>
            </w:r>
            <w:r w:rsidRPr="00C048DA">
              <w:rPr>
                <w:sz w:val="20"/>
                <w:szCs w:val="20"/>
                <w:lang w:val="nl-NL" w:eastAsia="vi-VN"/>
              </w:rPr>
              <w:t>doanh nghiệp 100% vốn nhà nước</w:t>
            </w:r>
            <w:r w:rsidRPr="00C048DA">
              <w:rPr>
                <w:sz w:val="20"/>
                <w:szCs w:val="20"/>
                <w:lang w:val="vi-VN" w:eastAsia="vi-VN"/>
              </w:rPr>
              <w:t xml:space="preserve"> thuộc diện giám sát tài chính đặc biệt</w:t>
            </w:r>
            <w:r w:rsidRPr="00C048DA">
              <w:rPr>
                <w:sz w:val="20"/>
                <w:szCs w:val="20"/>
                <w:lang w:val="nl-NL" w:eastAsia="vi-VN"/>
              </w:rPr>
              <w:t xml:space="preserve"> tại Điều 13 dự thảo; trách nhiệm của Sở Tài chính trong việc tham mưu UBND tỉnh báo cáo kết quả giám sát tài chính để gửi Bộ Tài chính đã được quy định tại điểm f khoản 2 Điều 4 dự thảo, tuy nhiên nội dung này vẫn được quy định lặp lại tại khoản 2 Điều 9, Điều 16 dự thảo; nội dung tại đoạn thứ 2 Điều 20 lặp lại nội dung tại Điều 19 dự thảo;</w:t>
            </w:r>
            <w:r w:rsidRPr="00C048DA">
              <w:rPr>
                <w:sz w:val="20"/>
                <w:szCs w:val="20"/>
                <w:shd w:val="clear" w:color="auto" w:fill="FFFFFF"/>
                <w:lang w:val="nl-NL"/>
              </w:rPr>
              <w:t xml:space="preserve"> khoản 1 Điều 12 dự thảo quy định trách nhiệm lập </w:t>
            </w:r>
            <w:r w:rsidRPr="00C048DA">
              <w:rPr>
                <w:sz w:val="20"/>
                <w:szCs w:val="20"/>
                <w:lang w:val="vi-VN" w:eastAsia="vi-VN"/>
              </w:rPr>
              <w:t xml:space="preserve">phương án khắc phục các khó khăn tài chính </w:t>
            </w:r>
            <w:r w:rsidRPr="00C048DA">
              <w:rPr>
                <w:sz w:val="20"/>
                <w:szCs w:val="20"/>
                <w:lang w:eastAsia="vi-VN"/>
              </w:rPr>
              <w:t xml:space="preserve">thuộc về </w:t>
            </w:r>
            <w:r w:rsidRPr="00C048DA">
              <w:rPr>
                <w:sz w:val="20"/>
                <w:szCs w:val="20"/>
                <w:lang w:val="vi-VN" w:eastAsia="vi-VN"/>
              </w:rPr>
              <w:t xml:space="preserve">Hội đồng thành viên (Chủ tịch Công ty), Tổng giám đốc hoặc Giám đốc doanh nghiệp thuộc diện giám sát tài chính đặc biệt </w:t>
            </w:r>
            <w:r w:rsidRPr="00C048DA">
              <w:rPr>
                <w:sz w:val="20"/>
                <w:szCs w:val="20"/>
                <w:lang w:eastAsia="vi-VN"/>
              </w:rPr>
              <w:t xml:space="preserve">tuy nhiên tại </w:t>
            </w:r>
            <w:r w:rsidRPr="00C048DA">
              <w:rPr>
                <w:sz w:val="20"/>
                <w:szCs w:val="20"/>
                <w:shd w:val="clear" w:color="auto" w:fill="FFFFFF"/>
                <w:lang w:val="nl-NL"/>
              </w:rPr>
              <w:t xml:space="preserve">điểm b khoản 2 Điều 12 dự thảo lại quy định </w:t>
            </w:r>
            <w:r w:rsidRPr="00C048DA">
              <w:rPr>
                <w:sz w:val="20"/>
                <w:szCs w:val="20"/>
                <w:lang w:val="vi-VN" w:eastAsia="vi-VN"/>
              </w:rPr>
              <w:t>doanh nghiệp</w:t>
            </w:r>
            <w:r w:rsidRPr="00C048DA">
              <w:rPr>
                <w:sz w:val="20"/>
                <w:szCs w:val="20"/>
                <w:lang w:eastAsia="vi-VN"/>
              </w:rPr>
              <w:t xml:space="preserve"> có trách nhiệm</w:t>
            </w:r>
            <w:r w:rsidRPr="00C048DA">
              <w:rPr>
                <w:sz w:val="20"/>
                <w:szCs w:val="20"/>
                <w:lang w:val="vi-VN" w:eastAsia="vi-VN"/>
              </w:rPr>
              <w:t xml:space="preserve"> xây dựng phương án khắc phục các khó khăn tài chính</w:t>
            </w:r>
          </w:p>
        </w:tc>
        <w:tc>
          <w:tcPr>
            <w:tcW w:w="3402" w:type="dxa"/>
            <w:vAlign w:val="center"/>
          </w:tcPr>
          <w:p w:rsidR="00C048DA" w:rsidRPr="00417F0A" w:rsidRDefault="00357B0D" w:rsidP="00AB094E">
            <w:pPr>
              <w:spacing w:before="120" w:after="120" w:line="240" w:lineRule="auto"/>
              <w:jc w:val="center"/>
              <w:rPr>
                <w:rFonts w:cs="Times New Roman"/>
                <w:color w:val="000000"/>
                <w:sz w:val="20"/>
                <w:szCs w:val="20"/>
                <w:shd w:val="clear" w:color="auto" w:fill="FFFFFF"/>
              </w:rPr>
            </w:pPr>
            <w:r w:rsidRPr="004E115D">
              <w:rPr>
                <w:sz w:val="20"/>
                <w:szCs w:val="20"/>
              </w:rPr>
              <w:t>Thống nhất tiếp thu chỉnh sửa</w:t>
            </w:r>
          </w:p>
        </w:tc>
      </w:tr>
    </w:tbl>
    <w:p w:rsidR="00A0406B" w:rsidRDefault="00A0406B" w:rsidP="00A0406B">
      <w:pPr>
        <w:tabs>
          <w:tab w:val="center" w:pos="0"/>
        </w:tabs>
        <w:spacing w:line="288" w:lineRule="auto"/>
        <w:rPr>
          <w:spacing w:val="-4"/>
        </w:rPr>
      </w:pPr>
    </w:p>
    <w:p w:rsidR="00AA2B34" w:rsidRDefault="00A0406B" w:rsidP="00AA2B34">
      <w:pPr>
        <w:tabs>
          <w:tab w:val="center" w:pos="0"/>
        </w:tabs>
        <w:spacing w:line="288" w:lineRule="auto"/>
        <w:rPr>
          <w:color w:val="000000"/>
          <w:spacing w:val="-2"/>
        </w:rPr>
      </w:pPr>
      <w:r>
        <w:rPr>
          <w:spacing w:val="-4"/>
        </w:rPr>
        <w:lastRenderedPageBreak/>
        <w:tab/>
        <w:t xml:space="preserve">3. Các nội dung lấy ý kiến theo </w:t>
      </w:r>
      <w:r>
        <w:rPr>
          <w:color w:val="000000"/>
          <w:spacing w:val="-2"/>
        </w:rPr>
        <w:t>Nghị định số 78/2025/NĐ-CP quy định chi tiết một số điều và biện pháp để tổ chức, hướng dẫn thi hành Luật Ban hành văn bản quy phạm pháp luật được sửa đổi, bổ sung bởi Nghị định số 187/2025/NĐ-CP:</w:t>
      </w:r>
    </w:p>
    <w:p w:rsidR="00AA2B34" w:rsidRPr="000B58EE" w:rsidRDefault="00A0406B" w:rsidP="00190255">
      <w:pPr>
        <w:tabs>
          <w:tab w:val="center" w:pos="0"/>
        </w:tabs>
        <w:spacing w:line="288" w:lineRule="auto"/>
        <w:ind w:firstLine="709"/>
        <w:jc w:val="both"/>
        <w:rPr>
          <w:spacing w:val="-4"/>
        </w:rPr>
      </w:pPr>
      <w:r w:rsidRPr="000B58EE">
        <w:rPr>
          <w:spacing w:val="-4"/>
        </w:rPr>
        <w:t xml:space="preserve">- Về nguồn lực tài chính và nguồn nhân lực: </w:t>
      </w:r>
      <w:r w:rsidR="00CB3C46" w:rsidRPr="000B58EE">
        <w:rPr>
          <w:spacing w:val="-4"/>
        </w:rPr>
        <w:t>Nguồn lực con người sử dụng cán bộ, công chức thực hiện nhiệm vụ giải quyết các nhiệm vụ chuyên môn hiện có của các Sở, ngành, các Công ty, không phát sinh nguồn kinh phí thực hiện.</w:t>
      </w:r>
    </w:p>
    <w:p w:rsidR="000A3C11" w:rsidRPr="000B58EE" w:rsidRDefault="00A0406B" w:rsidP="00190255">
      <w:pPr>
        <w:tabs>
          <w:tab w:val="center" w:pos="0"/>
        </w:tabs>
        <w:spacing w:line="288" w:lineRule="auto"/>
        <w:ind w:firstLine="709"/>
        <w:jc w:val="both"/>
        <w:rPr>
          <w:spacing w:val="-4"/>
        </w:rPr>
      </w:pPr>
      <w:r w:rsidRPr="000B58EE">
        <w:rPr>
          <w:spacing w:val="-4"/>
        </w:rPr>
        <w:t xml:space="preserve">- Việc </w:t>
      </w:r>
      <w:r w:rsidR="000A3C11" w:rsidRPr="000B58EE">
        <w:rPr>
          <w:spacing w:val="-4"/>
        </w:rPr>
        <w:t>ban hành Quy chế giám sát tài chính và đánh giá hiệu quả hoạt động các doanh nghiệp nhà nước nắm giữ 100% vốn điều lệ và doanh nghiệp có vốn nhà nước do Ủy ban nhân dân tỉnh Quảng Trị làm đại diện chủ sở hữu</w:t>
      </w:r>
      <w:r w:rsidR="00CB3C46" w:rsidRPr="000B58EE">
        <w:rPr>
          <w:spacing w:val="-4"/>
        </w:rPr>
        <w:t xml:space="preserve">: </w:t>
      </w:r>
      <w:r w:rsidRPr="000B58EE">
        <w:rPr>
          <w:spacing w:val="-4"/>
        </w:rPr>
        <w:t xml:space="preserve">Phù hợp với </w:t>
      </w:r>
      <w:r w:rsidR="000A3C11" w:rsidRPr="000B58EE">
        <w:rPr>
          <w:spacing w:val="-4"/>
        </w:rPr>
        <w:t>điểm a khoản 1 Điều 12 của Nghị định số 87/2015/NĐ-CP ngày 06/10/2015 của Chính phủ, về giám sát đầu tư vốn nhà nước vào doanh nghiệp; giám sát tài chính, đánh giá hiệu quả hoạt động và công khai thông tin tài chính của doanh nghiệp nhà nước và doanh nghiệp có vốn nhà nước: “1. Trách nhiệm của cơ quan đại diện chủ sở hữu:</w:t>
      </w:r>
      <w:bookmarkStart w:id="1" w:name="diem_1_12_1"/>
      <w:r w:rsidR="000A3C11" w:rsidRPr="000B58EE">
        <w:rPr>
          <w:spacing w:val="-4"/>
        </w:rPr>
        <w:t xml:space="preserve"> a) Xây dựng và ban hành Quy chế giám sát tài chính và đánh giá hiệu quả các doanh nghiệp (trong đó quy định cụ thể trách nhiệm, cơ chế phối hợp, báo cáo trong nội bộ cơ quan đại diện chủ sở hữu và giữa cơ quan đại diện chủ sở hữu với các bên liên quan</w:t>
      </w:r>
      <w:bookmarkEnd w:id="1"/>
      <w:r w:rsidR="000A3C11" w:rsidRPr="000B58EE">
        <w:rPr>
          <w:spacing w:val="-4"/>
        </w:rPr>
        <w:t>”.</w:t>
      </w:r>
    </w:p>
    <w:p w:rsidR="00A0406B" w:rsidRPr="000B58EE" w:rsidRDefault="00A0406B" w:rsidP="00190255">
      <w:pPr>
        <w:tabs>
          <w:tab w:val="center" w:pos="0"/>
        </w:tabs>
        <w:spacing w:line="288" w:lineRule="auto"/>
        <w:ind w:firstLine="709"/>
        <w:jc w:val="both"/>
        <w:rPr>
          <w:spacing w:val="-4"/>
        </w:rPr>
      </w:pPr>
      <w:r w:rsidRPr="000B58EE">
        <w:rPr>
          <w:spacing w:val="-4"/>
        </w:rPr>
        <w:t>- Việc ứng dụng, thúc đẩy phát triển khoa học, công nghệ, đổi mới sáng tạo và chuyển đổi số: Không có.</w:t>
      </w:r>
    </w:p>
    <w:p w:rsidR="00A0406B" w:rsidRDefault="00A0406B" w:rsidP="00190255">
      <w:pPr>
        <w:tabs>
          <w:tab w:val="center" w:pos="6804"/>
        </w:tabs>
        <w:jc w:val="both"/>
        <w:rPr>
          <w:b/>
          <w:szCs w:val="24"/>
          <w:lang w:val="nl-NL"/>
        </w:rPr>
      </w:pPr>
    </w:p>
    <w:p w:rsidR="006B22D1" w:rsidRPr="00076385" w:rsidRDefault="006B22D1" w:rsidP="00190255">
      <w:pPr>
        <w:spacing w:after="0" w:line="240" w:lineRule="auto"/>
        <w:jc w:val="both"/>
        <w:rPr>
          <w:rFonts w:cs="Times New Roman"/>
          <w:sz w:val="22"/>
        </w:rPr>
      </w:pPr>
    </w:p>
    <w:sectPr w:rsidR="006B22D1" w:rsidRPr="00076385" w:rsidSect="00F13A23">
      <w:headerReference w:type="default" r:id="rId8"/>
      <w:pgSz w:w="11907" w:h="16840" w:code="9"/>
      <w:pgMar w:top="709" w:right="851"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411" w:rsidRDefault="007D4411">
      <w:pPr>
        <w:spacing w:line="240" w:lineRule="auto"/>
      </w:pPr>
      <w:r>
        <w:separator/>
      </w:r>
    </w:p>
  </w:endnote>
  <w:endnote w:type="continuationSeparator" w:id="1">
    <w:p w:rsidR="007D4411" w:rsidRDefault="007D44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13">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411" w:rsidRDefault="007D4411">
      <w:pPr>
        <w:spacing w:after="0"/>
      </w:pPr>
      <w:r>
        <w:separator/>
      </w:r>
    </w:p>
  </w:footnote>
  <w:footnote w:type="continuationSeparator" w:id="1">
    <w:p w:rsidR="007D4411" w:rsidRDefault="007D441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793269"/>
      <w:docPartObj>
        <w:docPartGallery w:val="Page Numbers (Top of Page)"/>
        <w:docPartUnique/>
      </w:docPartObj>
    </w:sdtPr>
    <w:sdtContent>
      <w:p w:rsidR="00F13A23" w:rsidRDefault="00F13A23">
        <w:pPr>
          <w:pStyle w:val="Header"/>
          <w:jc w:val="center"/>
        </w:pPr>
        <w:fldSimple w:instr=" PAGE   \* MERGEFORMAT ">
          <w:r>
            <w:rPr>
              <w:noProof/>
            </w:rPr>
            <w:t>4</w:t>
          </w:r>
        </w:fldSimple>
      </w:p>
    </w:sdtContent>
  </w:sdt>
  <w:p w:rsidR="00F13A23" w:rsidRDefault="00F13A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486EB"/>
    <w:multiLevelType w:val="singleLevel"/>
    <w:tmpl w:val="83C486EB"/>
    <w:lvl w:ilvl="0">
      <w:start w:val="1"/>
      <w:numFmt w:val="decimal"/>
      <w:suff w:val="space"/>
      <w:lvlText w:val="%1."/>
      <w:lvlJc w:val="left"/>
    </w:lvl>
  </w:abstractNum>
  <w:abstractNum w:abstractNumId="1">
    <w:nsid w:val="99E4B8DE"/>
    <w:multiLevelType w:val="singleLevel"/>
    <w:tmpl w:val="99E4B8DE"/>
    <w:lvl w:ilvl="0">
      <w:start w:val="1"/>
      <w:numFmt w:val="decimal"/>
      <w:suff w:val="space"/>
      <w:lvlText w:val="%1."/>
      <w:lvlJc w:val="left"/>
    </w:lvl>
  </w:abstractNum>
  <w:abstractNum w:abstractNumId="2">
    <w:nsid w:val="C32806AE"/>
    <w:multiLevelType w:val="singleLevel"/>
    <w:tmpl w:val="C32806AE"/>
    <w:lvl w:ilvl="0">
      <w:start w:val="7"/>
      <w:numFmt w:val="decimal"/>
      <w:suff w:val="space"/>
      <w:lvlText w:val="%1."/>
      <w:lvlJc w:val="left"/>
    </w:lvl>
  </w:abstractNum>
  <w:abstractNum w:abstractNumId="3">
    <w:nsid w:val="02DE2F9E"/>
    <w:multiLevelType w:val="hybridMultilevel"/>
    <w:tmpl w:val="EB5A90C2"/>
    <w:lvl w:ilvl="0" w:tplc="98D83544">
      <w:start w:val="2"/>
      <w:numFmt w:val="bullet"/>
      <w:lvlText w:val="-"/>
      <w:lvlJc w:val="left"/>
      <w:pPr>
        <w:ind w:left="720" w:hanging="360"/>
      </w:pPr>
      <w:rPr>
        <w:rFonts w:ascii="Times New Roman" w:eastAsia="Times New Roman"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234F0"/>
    <w:multiLevelType w:val="hybridMultilevel"/>
    <w:tmpl w:val="8C0AD554"/>
    <w:lvl w:ilvl="0" w:tplc="1668F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F80636"/>
    <w:multiLevelType w:val="hybridMultilevel"/>
    <w:tmpl w:val="C8088280"/>
    <w:lvl w:ilvl="0" w:tplc="22429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072503"/>
    <w:multiLevelType w:val="hybridMultilevel"/>
    <w:tmpl w:val="C8283C44"/>
    <w:lvl w:ilvl="0" w:tplc="2CDC3D8E">
      <w:start w:val="2"/>
      <w:numFmt w:val="bullet"/>
      <w:lvlText w:val="-"/>
      <w:lvlJc w:val="left"/>
      <w:pPr>
        <w:ind w:left="535" w:hanging="360"/>
      </w:pPr>
      <w:rPr>
        <w:rFonts w:ascii="Times New Roman" w:eastAsiaTheme="minorHAnsi" w:hAnsi="Times New Roman" w:cs="Times New Roman" w:hint="default"/>
        <w:sz w:val="20"/>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7">
    <w:nsid w:val="0FDE5A0B"/>
    <w:multiLevelType w:val="hybridMultilevel"/>
    <w:tmpl w:val="CCFA298A"/>
    <w:lvl w:ilvl="0" w:tplc="63228D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34056"/>
    <w:multiLevelType w:val="hybridMultilevel"/>
    <w:tmpl w:val="42B6CDFA"/>
    <w:lvl w:ilvl="0" w:tplc="67686DD0">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61C41"/>
    <w:multiLevelType w:val="hybridMultilevel"/>
    <w:tmpl w:val="2FA65A30"/>
    <w:lvl w:ilvl="0" w:tplc="33F256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C58FB"/>
    <w:multiLevelType w:val="hybridMultilevel"/>
    <w:tmpl w:val="AA3C5D2A"/>
    <w:lvl w:ilvl="0" w:tplc="AE86EF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BC2C1A"/>
    <w:multiLevelType w:val="hybridMultilevel"/>
    <w:tmpl w:val="C8CA867E"/>
    <w:lvl w:ilvl="0" w:tplc="77B857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5622F"/>
    <w:multiLevelType w:val="hybridMultilevel"/>
    <w:tmpl w:val="B8087CF6"/>
    <w:lvl w:ilvl="0" w:tplc="5A7EF766">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A347B7"/>
    <w:multiLevelType w:val="hybridMultilevel"/>
    <w:tmpl w:val="74AC5C86"/>
    <w:lvl w:ilvl="0" w:tplc="3F2E2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701DA7"/>
    <w:multiLevelType w:val="hybridMultilevel"/>
    <w:tmpl w:val="D0029706"/>
    <w:lvl w:ilvl="0" w:tplc="D67859CE">
      <w:start w:val="2"/>
      <w:numFmt w:val="bullet"/>
      <w:lvlText w:val="-"/>
      <w:lvlJc w:val="left"/>
      <w:pPr>
        <w:ind w:left="421" w:hanging="360"/>
      </w:pPr>
      <w:rPr>
        <w:rFonts w:ascii="Times New Roman" w:eastAsiaTheme="minorHAnsi" w:hAnsi="Times New Roman" w:cs="Times New Roman" w:hint="default"/>
        <w:b w:val="0"/>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abstractNum w:abstractNumId="15">
    <w:nsid w:val="1CA769D6"/>
    <w:multiLevelType w:val="hybridMultilevel"/>
    <w:tmpl w:val="43A68DEC"/>
    <w:lvl w:ilvl="0" w:tplc="D7CC6864">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72A5E"/>
    <w:multiLevelType w:val="hybridMultilevel"/>
    <w:tmpl w:val="A79465C4"/>
    <w:lvl w:ilvl="0" w:tplc="97B0A0A6">
      <w:start w:val="2"/>
      <w:numFmt w:val="bullet"/>
      <w:lvlText w:val="-"/>
      <w:lvlJc w:val="left"/>
      <w:pPr>
        <w:ind w:left="394" w:hanging="360"/>
      </w:pPr>
      <w:rPr>
        <w:rFonts w:ascii="Times New Roman" w:eastAsia="Times New Roman" w:hAnsi="Times New Roman" w:cs="Times New Roman" w:hint="default"/>
        <w:color w:val="00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nsid w:val="2484251D"/>
    <w:multiLevelType w:val="hybridMultilevel"/>
    <w:tmpl w:val="9BD0225A"/>
    <w:lvl w:ilvl="0" w:tplc="26D291E6">
      <w:start w:val="2"/>
      <w:numFmt w:val="bullet"/>
      <w:lvlText w:val="-"/>
      <w:lvlJc w:val="left"/>
      <w:pPr>
        <w:ind w:left="365" w:hanging="360"/>
      </w:pPr>
      <w:rPr>
        <w:rFonts w:ascii="Times New Roman" w:eastAsia="Times New Roman" w:hAnsi="Times New Roman" w:cs="Times New Roman" w:hint="default"/>
        <w:color w:val="000000"/>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8">
    <w:nsid w:val="2AFD750F"/>
    <w:multiLevelType w:val="hybridMultilevel"/>
    <w:tmpl w:val="5934B470"/>
    <w:lvl w:ilvl="0" w:tplc="B6F45C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6C5FED"/>
    <w:multiLevelType w:val="hybridMultilevel"/>
    <w:tmpl w:val="27006F24"/>
    <w:lvl w:ilvl="0" w:tplc="65EA4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2143F"/>
    <w:multiLevelType w:val="hybridMultilevel"/>
    <w:tmpl w:val="91480F86"/>
    <w:lvl w:ilvl="0" w:tplc="5F166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BA377E"/>
    <w:multiLevelType w:val="hybridMultilevel"/>
    <w:tmpl w:val="67E05F32"/>
    <w:lvl w:ilvl="0" w:tplc="2B6AEE88">
      <w:start w:val="1"/>
      <w:numFmt w:val="bullet"/>
      <w:lvlText w:val="-"/>
      <w:lvlJc w:val="left"/>
      <w:pPr>
        <w:ind w:left="720" w:hanging="360"/>
      </w:pPr>
      <w:rPr>
        <w:rFonts w:ascii="Times New Roman" w:eastAsiaTheme="minorHAnsi"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45D93"/>
    <w:multiLevelType w:val="hybridMultilevel"/>
    <w:tmpl w:val="3CB8DF60"/>
    <w:lvl w:ilvl="0" w:tplc="C9F2EA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E40C6"/>
    <w:multiLevelType w:val="hybridMultilevel"/>
    <w:tmpl w:val="B82AD734"/>
    <w:lvl w:ilvl="0" w:tplc="B7C48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035DD6"/>
    <w:multiLevelType w:val="hybridMultilevel"/>
    <w:tmpl w:val="3932B8E4"/>
    <w:lvl w:ilvl="0" w:tplc="7DEAE8A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4A080"/>
    <w:multiLevelType w:val="singleLevel"/>
    <w:tmpl w:val="4904A080"/>
    <w:lvl w:ilvl="0">
      <w:start w:val="4"/>
      <w:numFmt w:val="decimal"/>
      <w:suff w:val="space"/>
      <w:lvlText w:val="%1."/>
      <w:lvlJc w:val="left"/>
    </w:lvl>
  </w:abstractNum>
  <w:abstractNum w:abstractNumId="26">
    <w:nsid w:val="5732645D"/>
    <w:multiLevelType w:val="hybridMultilevel"/>
    <w:tmpl w:val="4DA89352"/>
    <w:lvl w:ilvl="0" w:tplc="0994F2F6">
      <w:start w:val="1"/>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EE6B91"/>
    <w:multiLevelType w:val="hybridMultilevel"/>
    <w:tmpl w:val="14F8E5C0"/>
    <w:lvl w:ilvl="0" w:tplc="64580A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375BDC"/>
    <w:multiLevelType w:val="hybridMultilevel"/>
    <w:tmpl w:val="B066E66A"/>
    <w:lvl w:ilvl="0" w:tplc="BFB4F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6639B"/>
    <w:multiLevelType w:val="hybridMultilevel"/>
    <w:tmpl w:val="4AD898B6"/>
    <w:lvl w:ilvl="0" w:tplc="E37CC7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BA1F75"/>
    <w:multiLevelType w:val="hybridMultilevel"/>
    <w:tmpl w:val="D05261BA"/>
    <w:lvl w:ilvl="0" w:tplc="123E4948">
      <w:start w:val="3"/>
      <w:numFmt w:val="bullet"/>
      <w:lvlText w:val="-"/>
      <w:lvlJc w:val="left"/>
      <w:pPr>
        <w:ind w:left="365" w:hanging="360"/>
      </w:pPr>
      <w:rPr>
        <w:rFonts w:ascii="Times New Roman" w:eastAsiaTheme="minorHAnsi"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31">
    <w:nsid w:val="64694EC6"/>
    <w:multiLevelType w:val="hybridMultilevel"/>
    <w:tmpl w:val="06ECF052"/>
    <w:lvl w:ilvl="0" w:tplc="DBC4A9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C14CD8"/>
    <w:multiLevelType w:val="hybridMultilevel"/>
    <w:tmpl w:val="F6D263F0"/>
    <w:lvl w:ilvl="0" w:tplc="9F2CD2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46EA3"/>
    <w:multiLevelType w:val="hybridMultilevel"/>
    <w:tmpl w:val="6DE8FB10"/>
    <w:lvl w:ilvl="0" w:tplc="4ECC6202">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456E9"/>
    <w:multiLevelType w:val="hybridMultilevel"/>
    <w:tmpl w:val="E6609440"/>
    <w:lvl w:ilvl="0" w:tplc="9306D4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B745E"/>
    <w:multiLevelType w:val="hybridMultilevel"/>
    <w:tmpl w:val="8BEAF2F8"/>
    <w:lvl w:ilvl="0" w:tplc="184A1F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E1505B"/>
    <w:multiLevelType w:val="hybridMultilevel"/>
    <w:tmpl w:val="0D90BB9C"/>
    <w:lvl w:ilvl="0" w:tplc="7FDE0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B45D18"/>
    <w:multiLevelType w:val="hybridMultilevel"/>
    <w:tmpl w:val="B6B0364C"/>
    <w:lvl w:ilvl="0" w:tplc="89F63D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FD0109"/>
    <w:multiLevelType w:val="hybridMultilevel"/>
    <w:tmpl w:val="7E7821DA"/>
    <w:lvl w:ilvl="0" w:tplc="3872C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EE0C91"/>
    <w:multiLevelType w:val="hybridMultilevel"/>
    <w:tmpl w:val="CCD6DDA4"/>
    <w:lvl w:ilvl="0" w:tplc="AA947B6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699039"/>
    <w:multiLevelType w:val="singleLevel"/>
    <w:tmpl w:val="7A699039"/>
    <w:lvl w:ilvl="0">
      <w:start w:val="1"/>
      <w:numFmt w:val="decimal"/>
      <w:suff w:val="space"/>
      <w:lvlText w:val="%1."/>
      <w:lvlJc w:val="left"/>
    </w:lvl>
  </w:abstractNum>
  <w:abstractNum w:abstractNumId="41">
    <w:nsid w:val="7C2B4C79"/>
    <w:multiLevelType w:val="hybridMultilevel"/>
    <w:tmpl w:val="16865B36"/>
    <w:lvl w:ilvl="0" w:tplc="F7DC63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40"/>
  </w:num>
  <w:num w:numId="4">
    <w:abstractNumId w:val="1"/>
  </w:num>
  <w:num w:numId="5">
    <w:abstractNumId w:val="3"/>
  </w:num>
  <w:num w:numId="6">
    <w:abstractNumId w:val="11"/>
  </w:num>
  <w:num w:numId="7">
    <w:abstractNumId w:val="0"/>
  </w:num>
  <w:num w:numId="8">
    <w:abstractNumId w:val="8"/>
  </w:num>
  <w:num w:numId="9">
    <w:abstractNumId w:val="26"/>
  </w:num>
  <w:num w:numId="10">
    <w:abstractNumId w:val="15"/>
  </w:num>
  <w:num w:numId="11">
    <w:abstractNumId w:val="13"/>
  </w:num>
  <w:num w:numId="12">
    <w:abstractNumId w:val="10"/>
  </w:num>
  <w:num w:numId="13">
    <w:abstractNumId w:val="20"/>
  </w:num>
  <w:num w:numId="14">
    <w:abstractNumId w:val="23"/>
  </w:num>
  <w:num w:numId="15">
    <w:abstractNumId w:val="19"/>
  </w:num>
  <w:num w:numId="16">
    <w:abstractNumId w:val="35"/>
  </w:num>
  <w:num w:numId="17">
    <w:abstractNumId w:val="24"/>
  </w:num>
  <w:num w:numId="18">
    <w:abstractNumId w:val="38"/>
  </w:num>
  <w:num w:numId="19">
    <w:abstractNumId w:val="9"/>
  </w:num>
  <w:num w:numId="20">
    <w:abstractNumId w:val="16"/>
  </w:num>
  <w:num w:numId="21">
    <w:abstractNumId w:val="17"/>
  </w:num>
  <w:num w:numId="22">
    <w:abstractNumId w:val="30"/>
  </w:num>
  <w:num w:numId="23">
    <w:abstractNumId w:val="18"/>
  </w:num>
  <w:num w:numId="24">
    <w:abstractNumId w:val="12"/>
  </w:num>
  <w:num w:numId="25">
    <w:abstractNumId w:val="34"/>
  </w:num>
  <w:num w:numId="26">
    <w:abstractNumId w:val="36"/>
  </w:num>
  <w:num w:numId="27">
    <w:abstractNumId w:val="39"/>
  </w:num>
  <w:num w:numId="28">
    <w:abstractNumId w:val="5"/>
  </w:num>
  <w:num w:numId="29">
    <w:abstractNumId w:val="4"/>
  </w:num>
  <w:num w:numId="30">
    <w:abstractNumId w:val="14"/>
  </w:num>
  <w:num w:numId="31">
    <w:abstractNumId w:val="28"/>
  </w:num>
  <w:num w:numId="32">
    <w:abstractNumId w:val="32"/>
  </w:num>
  <w:num w:numId="33">
    <w:abstractNumId w:val="37"/>
  </w:num>
  <w:num w:numId="34">
    <w:abstractNumId w:val="7"/>
  </w:num>
  <w:num w:numId="35">
    <w:abstractNumId w:val="27"/>
  </w:num>
  <w:num w:numId="36">
    <w:abstractNumId w:val="29"/>
  </w:num>
  <w:num w:numId="37">
    <w:abstractNumId w:val="22"/>
  </w:num>
  <w:num w:numId="38">
    <w:abstractNumId w:val="33"/>
  </w:num>
  <w:num w:numId="39">
    <w:abstractNumId w:val="41"/>
  </w:num>
  <w:num w:numId="40">
    <w:abstractNumId w:val="6"/>
  </w:num>
  <w:num w:numId="41">
    <w:abstractNumId w:val="21"/>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C277DF"/>
    <w:rsid w:val="0000030E"/>
    <w:rsid w:val="00003830"/>
    <w:rsid w:val="000074BB"/>
    <w:rsid w:val="0001198D"/>
    <w:rsid w:val="00016F2E"/>
    <w:rsid w:val="00017301"/>
    <w:rsid w:val="00022098"/>
    <w:rsid w:val="00022357"/>
    <w:rsid w:val="00022FE2"/>
    <w:rsid w:val="00023D4A"/>
    <w:rsid w:val="000319CF"/>
    <w:rsid w:val="00032B5A"/>
    <w:rsid w:val="000418F6"/>
    <w:rsid w:val="000419AD"/>
    <w:rsid w:val="000427BA"/>
    <w:rsid w:val="0004433B"/>
    <w:rsid w:val="00044B06"/>
    <w:rsid w:val="000457FA"/>
    <w:rsid w:val="00051794"/>
    <w:rsid w:val="00054178"/>
    <w:rsid w:val="000574AD"/>
    <w:rsid w:val="00060B28"/>
    <w:rsid w:val="0006620A"/>
    <w:rsid w:val="00072905"/>
    <w:rsid w:val="0007359B"/>
    <w:rsid w:val="00075D3F"/>
    <w:rsid w:val="0007609A"/>
    <w:rsid w:val="00076385"/>
    <w:rsid w:val="000763E9"/>
    <w:rsid w:val="00080BBC"/>
    <w:rsid w:val="0008453B"/>
    <w:rsid w:val="0008672D"/>
    <w:rsid w:val="0008777C"/>
    <w:rsid w:val="000937B5"/>
    <w:rsid w:val="000962F9"/>
    <w:rsid w:val="0009699D"/>
    <w:rsid w:val="000A1DC3"/>
    <w:rsid w:val="000A3C11"/>
    <w:rsid w:val="000A49B9"/>
    <w:rsid w:val="000A5092"/>
    <w:rsid w:val="000A5268"/>
    <w:rsid w:val="000A7CF2"/>
    <w:rsid w:val="000B00D8"/>
    <w:rsid w:val="000B4C6D"/>
    <w:rsid w:val="000B4EF3"/>
    <w:rsid w:val="000B58EE"/>
    <w:rsid w:val="000C0FCE"/>
    <w:rsid w:val="000C1EAD"/>
    <w:rsid w:val="000C3A66"/>
    <w:rsid w:val="000C40C5"/>
    <w:rsid w:val="000C489C"/>
    <w:rsid w:val="000C4E72"/>
    <w:rsid w:val="000C611B"/>
    <w:rsid w:val="000D471A"/>
    <w:rsid w:val="000D6ECB"/>
    <w:rsid w:val="000E1E73"/>
    <w:rsid w:val="000E56B4"/>
    <w:rsid w:val="000E7156"/>
    <w:rsid w:val="000E74DC"/>
    <w:rsid w:val="000F104B"/>
    <w:rsid w:val="000F1342"/>
    <w:rsid w:val="000F3291"/>
    <w:rsid w:val="000F5E64"/>
    <w:rsid w:val="00102597"/>
    <w:rsid w:val="00104630"/>
    <w:rsid w:val="00104B6D"/>
    <w:rsid w:val="001059AA"/>
    <w:rsid w:val="00110273"/>
    <w:rsid w:val="0011069F"/>
    <w:rsid w:val="00112AD0"/>
    <w:rsid w:val="00114E93"/>
    <w:rsid w:val="00120053"/>
    <w:rsid w:val="0012020B"/>
    <w:rsid w:val="00122C24"/>
    <w:rsid w:val="00123178"/>
    <w:rsid w:val="0012647D"/>
    <w:rsid w:val="00126ACC"/>
    <w:rsid w:val="00126EEB"/>
    <w:rsid w:val="001273DF"/>
    <w:rsid w:val="001276E9"/>
    <w:rsid w:val="00130C45"/>
    <w:rsid w:val="00136C36"/>
    <w:rsid w:val="001429E5"/>
    <w:rsid w:val="001506A8"/>
    <w:rsid w:val="00152A7A"/>
    <w:rsid w:val="00154318"/>
    <w:rsid w:val="001565A1"/>
    <w:rsid w:val="00157561"/>
    <w:rsid w:val="00161216"/>
    <w:rsid w:val="0016459F"/>
    <w:rsid w:val="001676C5"/>
    <w:rsid w:val="001766FE"/>
    <w:rsid w:val="001825CA"/>
    <w:rsid w:val="0018422A"/>
    <w:rsid w:val="00186D9B"/>
    <w:rsid w:val="00186EDC"/>
    <w:rsid w:val="00190255"/>
    <w:rsid w:val="001918DE"/>
    <w:rsid w:val="001928BE"/>
    <w:rsid w:val="00192A66"/>
    <w:rsid w:val="00197CB8"/>
    <w:rsid w:val="001A1F82"/>
    <w:rsid w:val="001A3852"/>
    <w:rsid w:val="001A3F5C"/>
    <w:rsid w:val="001A6A2F"/>
    <w:rsid w:val="001A7A71"/>
    <w:rsid w:val="001B1C03"/>
    <w:rsid w:val="001B62A1"/>
    <w:rsid w:val="001B7B8B"/>
    <w:rsid w:val="001C1C07"/>
    <w:rsid w:val="001C40EB"/>
    <w:rsid w:val="001C66FE"/>
    <w:rsid w:val="001D31CA"/>
    <w:rsid w:val="001E194D"/>
    <w:rsid w:val="001E1F9D"/>
    <w:rsid w:val="001E215B"/>
    <w:rsid w:val="001E77E4"/>
    <w:rsid w:val="001E7FA7"/>
    <w:rsid w:val="001F1C2E"/>
    <w:rsid w:val="001F6360"/>
    <w:rsid w:val="001F65B3"/>
    <w:rsid w:val="00203264"/>
    <w:rsid w:val="00211A8B"/>
    <w:rsid w:val="00216AD4"/>
    <w:rsid w:val="00225828"/>
    <w:rsid w:val="00225A13"/>
    <w:rsid w:val="00225A87"/>
    <w:rsid w:val="0023143F"/>
    <w:rsid w:val="00233261"/>
    <w:rsid w:val="00234CCC"/>
    <w:rsid w:val="00234DA5"/>
    <w:rsid w:val="002373BD"/>
    <w:rsid w:val="00237499"/>
    <w:rsid w:val="00237CCF"/>
    <w:rsid w:val="00244E54"/>
    <w:rsid w:val="002457D1"/>
    <w:rsid w:val="00245894"/>
    <w:rsid w:val="00245FCC"/>
    <w:rsid w:val="00246AB1"/>
    <w:rsid w:val="00247152"/>
    <w:rsid w:val="00250F86"/>
    <w:rsid w:val="0026367B"/>
    <w:rsid w:val="00274473"/>
    <w:rsid w:val="00275FD6"/>
    <w:rsid w:val="002778BB"/>
    <w:rsid w:val="00282572"/>
    <w:rsid w:val="002838CA"/>
    <w:rsid w:val="002854A8"/>
    <w:rsid w:val="00287ED0"/>
    <w:rsid w:val="00291C43"/>
    <w:rsid w:val="00293707"/>
    <w:rsid w:val="002A78DA"/>
    <w:rsid w:val="002B3B10"/>
    <w:rsid w:val="002B3D7C"/>
    <w:rsid w:val="002C199C"/>
    <w:rsid w:val="002C3551"/>
    <w:rsid w:val="002C5259"/>
    <w:rsid w:val="002D576C"/>
    <w:rsid w:val="002D6843"/>
    <w:rsid w:val="002F7098"/>
    <w:rsid w:val="0030569B"/>
    <w:rsid w:val="00305E65"/>
    <w:rsid w:val="003144E6"/>
    <w:rsid w:val="003144E9"/>
    <w:rsid w:val="00316898"/>
    <w:rsid w:val="00320048"/>
    <w:rsid w:val="00322682"/>
    <w:rsid w:val="00322B8A"/>
    <w:rsid w:val="00326B29"/>
    <w:rsid w:val="00327895"/>
    <w:rsid w:val="00327B2B"/>
    <w:rsid w:val="0033123E"/>
    <w:rsid w:val="003354BC"/>
    <w:rsid w:val="00335688"/>
    <w:rsid w:val="0034141B"/>
    <w:rsid w:val="00342062"/>
    <w:rsid w:val="00342B79"/>
    <w:rsid w:val="0034309A"/>
    <w:rsid w:val="003453D2"/>
    <w:rsid w:val="003460F5"/>
    <w:rsid w:val="00350143"/>
    <w:rsid w:val="003508CA"/>
    <w:rsid w:val="00353B83"/>
    <w:rsid w:val="0035608A"/>
    <w:rsid w:val="00357B0D"/>
    <w:rsid w:val="00362155"/>
    <w:rsid w:val="00366FD5"/>
    <w:rsid w:val="00367FE6"/>
    <w:rsid w:val="0037038A"/>
    <w:rsid w:val="00375DB8"/>
    <w:rsid w:val="0037745C"/>
    <w:rsid w:val="0038604F"/>
    <w:rsid w:val="003861C4"/>
    <w:rsid w:val="00387416"/>
    <w:rsid w:val="00391AD7"/>
    <w:rsid w:val="003946BA"/>
    <w:rsid w:val="00395024"/>
    <w:rsid w:val="00397FE9"/>
    <w:rsid w:val="003A7DDB"/>
    <w:rsid w:val="003B518B"/>
    <w:rsid w:val="003B60DC"/>
    <w:rsid w:val="003C19A7"/>
    <w:rsid w:val="003C1DC6"/>
    <w:rsid w:val="003C1EBC"/>
    <w:rsid w:val="003C2078"/>
    <w:rsid w:val="003C3B19"/>
    <w:rsid w:val="003C64A0"/>
    <w:rsid w:val="003D0838"/>
    <w:rsid w:val="003D35DB"/>
    <w:rsid w:val="003E2C16"/>
    <w:rsid w:val="003E4357"/>
    <w:rsid w:val="003F0D5F"/>
    <w:rsid w:val="003F1406"/>
    <w:rsid w:val="003F435E"/>
    <w:rsid w:val="00400A5A"/>
    <w:rsid w:val="00401465"/>
    <w:rsid w:val="004101C5"/>
    <w:rsid w:val="00410494"/>
    <w:rsid w:val="00410F38"/>
    <w:rsid w:val="00412555"/>
    <w:rsid w:val="004163B6"/>
    <w:rsid w:val="00417F0A"/>
    <w:rsid w:val="00423461"/>
    <w:rsid w:val="00426796"/>
    <w:rsid w:val="00430B21"/>
    <w:rsid w:val="0043505E"/>
    <w:rsid w:val="004351D1"/>
    <w:rsid w:val="004367E9"/>
    <w:rsid w:val="00437700"/>
    <w:rsid w:val="00437731"/>
    <w:rsid w:val="0044349B"/>
    <w:rsid w:val="004446FE"/>
    <w:rsid w:val="00445A05"/>
    <w:rsid w:val="00451AC3"/>
    <w:rsid w:val="00453ACD"/>
    <w:rsid w:val="00454338"/>
    <w:rsid w:val="004554B3"/>
    <w:rsid w:val="00456401"/>
    <w:rsid w:val="00456CF8"/>
    <w:rsid w:val="004616D8"/>
    <w:rsid w:val="004623E4"/>
    <w:rsid w:val="004651A9"/>
    <w:rsid w:val="00475409"/>
    <w:rsid w:val="00480138"/>
    <w:rsid w:val="00480DE6"/>
    <w:rsid w:val="00484396"/>
    <w:rsid w:val="00487C56"/>
    <w:rsid w:val="00492D46"/>
    <w:rsid w:val="0049375B"/>
    <w:rsid w:val="00496A5B"/>
    <w:rsid w:val="004A2D72"/>
    <w:rsid w:val="004A715B"/>
    <w:rsid w:val="004A7174"/>
    <w:rsid w:val="004B135F"/>
    <w:rsid w:val="004B1643"/>
    <w:rsid w:val="004B3B77"/>
    <w:rsid w:val="004B6BAE"/>
    <w:rsid w:val="004C1947"/>
    <w:rsid w:val="004C2BCE"/>
    <w:rsid w:val="004C3C9B"/>
    <w:rsid w:val="004D2547"/>
    <w:rsid w:val="004E115D"/>
    <w:rsid w:val="004F17D2"/>
    <w:rsid w:val="004F1BC3"/>
    <w:rsid w:val="004F1FE9"/>
    <w:rsid w:val="004F7998"/>
    <w:rsid w:val="004F7AA1"/>
    <w:rsid w:val="004F7D21"/>
    <w:rsid w:val="005023F7"/>
    <w:rsid w:val="0050260E"/>
    <w:rsid w:val="00505513"/>
    <w:rsid w:val="005061DB"/>
    <w:rsid w:val="00510BF9"/>
    <w:rsid w:val="00511FED"/>
    <w:rsid w:val="0051607A"/>
    <w:rsid w:val="0052040B"/>
    <w:rsid w:val="00521CE9"/>
    <w:rsid w:val="00522281"/>
    <w:rsid w:val="00522D8E"/>
    <w:rsid w:val="0053224B"/>
    <w:rsid w:val="005333BD"/>
    <w:rsid w:val="00535D0F"/>
    <w:rsid w:val="005414CC"/>
    <w:rsid w:val="00545931"/>
    <w:rsid w:val="00553402"/>
    <w:rsid w:val="00553BFB"/>
    <w:rsid w:val="0055427A"/>
    <w:rsid w:val="005556CD"/>
    <w:rsid w:val="0057597E"/>
    <w:rsid w:val="00580912"/>
    <w:rsid w:val="00580EDD"/>
    <w:rsid w:val="0058125A"/>
    <w:rsid w:val="00581F70"/>
    <w:rsid w:val="00582B3C"/>
    <w:rsid w:val="0059308E"/>
    <w:rsid w:val="00596B84"/>
    <w:rsid w:val="005979AA"/>
    <w:rsid w:val="005A0DD0"/>
    <w:rsid w:val="005A1F33"/>
    <w:rsid w:val="005B1572"/>
    <w:rsid w:val="005B3A53"/>
    <w:rsid w:val="005B4C16"/>
    <w:rsid w:val="005B578A"/>
    <w:rsid w:val="005B5932"/>
    <w:rsid w:val="005B7DF4"/>
    <w:rsid w:val="005C0D24"/>
    <w:rsid w:val="005C6F3A"/>
    <w:rsid w:val="005C7A11"/>
    <w:rsid w:val="005D0989"/>
    <w:rsid w:val="005D2BEA"/>
    <w:rsid w:val="005D62E6"/>
    <w:rsid w:val="005D68F4"/>
    <w:rsid w:val="005E3096"/>
    <w:rsid w:val="005E3AA1"/>
    <w:rsid w:val="005E4934"/>
    <w:rsid w:val="005E6041"/>
    <w:rsid w:val="005E7E93"/>
    <w:rsid w:val="005E7F8F"/>
    <w:rsid w:val="005F502B"/>
    <w:rsid w:val="005F7301"/>
    <w:rsid w:val="005F752A"/>
    <w:rsid w:val="0060134B"/>
    <w:rsid w:val="006042AD"/>
    <w:rsid w:val="00605679"/>
    <w:rsid w:val="00610237"/>
    <w:rsid w:val="006103BC"/>
    <w:rsid w:val="00610457"/>
    <w:rsid w:val="00610968"/>
    <w:rsid w:val="006120F1"/>
    <w:rsid w:val="006131DB"/>
    <w:rsid w:val="00615AD4"/>
    <w:rsid w:val="00621EF7"/>
    <w:rsid w:val="0062235C"/>
    <w:rsid w:val="006233D3"/>
    <w:rsid w:val="006251A5"/>
    <w:rsid w:val="00627860"/>
    <w:rsid w:val="006365EE"/>
    <w:rsid w:val="00636A8B"/>
    <w:rsid w:val="00637818"/>
    <w:rsid w:val="00637BB4"/>
    <w:rsid w:val="00640992"/>
    <w:rsid w:val="00643367"/>
    <w:rsid w:val="00643A8B"/>
    <w:rsid w:val="00645A0A"/>
    <w:rsid w:val="0064760A"/>
    <w:rsid w:val="00650E67"/>
    <w:rsid w:val="006627F2"/>
    <w:rsid w:val="00663FF5"/>
    <w:rsid w:val="006724E9"/>
    <w:rsid w:val="0067440C"/>
    <w:rsid w:val="006760D4"/>
    <w:rsid w:val="0067735A"/>
    <w:rsid w:val="00677734"/>
    <w:rsid w:val="00677C4C"/>
    <w:rsid w:val="00691EF0"/>
    <w:rsid w:val="00692461"/>
    <w:rsid w:val="00693224"/>
    <w:rsid w:val="006941BF"/>
    <w:rsid w:val="00696FD6"/>
    <w:rsid w:val="00697475"/>
    <w:rsid w:val="006A0498"/>
    <w:rsid w:val="006A0911"/>
    <w:rsid w:val="006A0D78"/>
    <w:rsid w:val="006A136F"/>
    <w:rsid w:val="006A2933"/>
    <w:rsid w:val="006A3D49"/>
    <w:rsid w:val="006A5660"/>
    <w:rsid w:val="006B1115"/>
    <w:rsid w:val="006B12B5"/>
    <w:rsid w:val="006B22D1"/>
    <w:rsid w:val="006B339C"/>
    <w:rsid w:val="006B6513"/>
    <w:rsid w:val="006C136A"/>
    <w:rsid w:val="006C28F0"/>
    <w:rsid w:val="006C4041"/>
    <w:rsid w:val="006C58C7"/>
    <w:rsid w:val="006D0B3C"/>
    <w:rsid w:val="006D24EC"/>
    <w:rsid w:val="006D4640"/>
    <w:rsid w:val="006D7A44"/>
    <w:rsid w:val="006E3436"/>
    <w:rsid w:val="006E3E32"/>
    <w:rsid w:val="006E70B1"/>
    <w:rsid w:val="006F2076"/>
    <w:rsid w:val="006F67DC"/>
    <w:rsid w:val="006F681A"/>
    <w:rsid w:val="00702008"/>
    <w:rsid w:val="007050FE"/>
    <w:rsid w:val="00705D19"/>
    <w:rsid w:val="00714389"/>
    <w:rsid w:val="007149B0"/>
    <w:rsid w:val="00717414"/>
    <w:rsid w:val="0072092E"/>
    <w:rsid w:val="0072276F"/>
    <w:rsid w:val="007269C4"/>
    <w:rsid w:val="00734F08"/>
    <w:rsid w:val="007377CE"/>
    <w:rsid w:val="007401AE"/>
    <w:rsid w:val="00742A72"/>
    <w:rsid w:val="00746CDB"/>
    <w:rsid w:val="007547CE"/>
    <w:rsid w:val="00756A0F"/>
    <w:rsid w:val="007641EA"/>
    <w:rsid w:val="00764FA7"/>
    <w:rsid w:val="00765B8C"/>
    <w:rsid w:val="0076643C"/>
    <w:rsid w:val="00770142"/>
    <w:rsid w:val="007714C3"/>
    <w:rsid w:val="0077450B"/>
    <w:rsid w:val="00775165"/>
    <w:rsid w:val="00777A29"/>
    <w:rsid w:val="00781B56"/>
    <w:rsid w:val="00785368"/>
    <w:rsid w:val="00792CF9"/>
    <w:rsid w:val="007A0865"/>
    <w:rsid w:val="007A2899"/>
    <w:rsid w:val="007A3A81"/>
    <w:rsid w:val="007A3FF1"/>
    <w:rsid w:val="007A7152"/>
    <w:rsid w:val="007B791D"/>
    <w:rsid w:val="007C0B9F"/>
    <w:rsid w:val="007C4AE4"/>
    <w:rsid w:val="007C68EE"/>
    <w:rsid w:val="007C69C5"/>
    <w:rsid w:val="007C6C4E"/>
    <w:rsid w:val="007D179F"/>
    <w:rsid w:val="007D4411"/>
    <w:rsid w:val="007D7455"/>
    <w:rsid w:val="007E1E50"/>
    <w:rsid w:val="007E353B"/>
    <w:rsid w:val="007E49FE"/>
    <w:rsid w:val="007E5B36"/>
    <w:rsid w:val="007F5C83"/>
    <w:rsid w:val="007F7686"/>
    <w:rsid w:val="007F78A7"/>
    <w:rsid w:val="007F7F88"/>
    <w:rsid w:val="00801C50"/>
    <w:rsid w:val="00801E09"/>
    <w:rsid w:val="00801E6B"/>
    <w:rsid w:val="00804C45"/>
    <w:rsid w:val="00805730"/>
    <w:rsid w:val="00806284"/>
    <w:rsid w:val="00810CAF"/>
    <w:rsid w:val="00813956"/>
    <w:rsid w:val="00816DCC"/>
    <w:rsid w:val="00823A6D"/>
    <w:rsid w:val="00823A84"/>
    <w:rsid w:val="00824B7E"/>
    <w:rsid w:val="008258C4"/>
    <w:rsid w:val="00832CF8"/>
    <w:rsid w:val="00844B12"/>
    <w:rsid w:val="00851512"/>
    <w:rsid w:val="008560A5"/>
    <w:rsid w:val="00861E4B"/>
    <w:rsid w:val="008664FB"/>
    <w:rsid w:val="00874DAC"/>
    <w:rsid w:val="0087510B"/>
    <w:rsid w:val="008751CE"/>
    <w:rsid w:val="00876FA2"/>
    <w:rsid w:val="00880602"/>
    <w:rsid w:val="00880651"/>
    <w:rsid w:val="00880B38"/>
    <w:rsid w:val="00881C25"/>
    <w:rsid w:val="00887A23"/>
    <w:rsid w:val="008921A9"/>
    <w:rsid w:val="008937C8"/>
    <w:rsid w:val="00896E0F"/>
    <w:rsid w:val="008A430E"/>
    <w:rsid w:val="008B01A1"/>
    <w:rsid w:val="008B2FF9"/>
    <w:rsid w:val="008B34FD"/>
    <w:rsid w:val="008B6CFF"/>
    <w:rsid w:val="008B7ECF"/>
    <w:rsid w:val="008C2207"/>
    <w:rsid w:val="008C3511"/>
    <w:rsid w:val="008C3EEB"/>
    <w:rsid w:val="008C464A"/>
    <w:rsid w:val="008C5125"/>
    <w:rsid w:val="008C63E0"/>
    <w:rsid w:val="008C7E25"/>
    <w:rsid w:val="008D2885"/>
    <w:rsid w:val="008D4061"/>
    <w:rsid w:val="008D6482"/>
    <w:rsid w:val="008E0E01"/>
    <w:rsid w:val="008E4283"/>
    <w:rsid w:val="008E429F"/>
    <w:rsid w:val="008E4F3D"/>
    <w:rsid w:val="008F13DC"/>
    <w:rsid w:val="008F27D0"/>
    <w:rsid w:val="008F3FB2"/>
    <w:rsid w:val="008F46B1"/>
    <w:rsid w:val="008F6BB8"/>
    <w:rsid w:val="00900BFD"/>
    <w:rsid w:val="009037DA"/>
    <w:rsid w:val="009054D4"/>
    <w:rsid w:val="00907855"/>
    <w:rsid w:val="00907DE7"/>
    <w:rsid w:val="0091077F"/>
    <w:rsid w:val="0091540D"/>
    <w:rsid w:val="009162CA"/>
    <w:rsid w:val="009168EF"/>
    <w:rsid w:val="009177BC"/>
    <w:rsid w:val="0092020A"/>
    <w:rsid w:val="00920B02"/>
    <w:rsid w:val="0092179E"/>
    <w:rsid w:val="0092294A"/>
    <w:rsid w:val="00922A5D"/>
    <w:rsid w:val="00923472"/>
    <w:rsid w:val="00923A02"/>
    <w:rsid w:val="00924726"/>
    <w:rsid w:val="00925353"/>
    <w:rsid w:val="00932F7C"/>
    <w:rsid w:val="00940928"/>
    <w:rsid w:val="009410A1"/>
    <w:rsid w:val="00942CAF"/>
    <w:rsid w:val="0094415C"/>
    <w:rsid w:val="009469DE"/>
    <w:rsid w:val="00950DF9"/>
    <w:rsid w:val="009562FB"/>
    <w:rsid w:val="00956F09"/>
    <w:rsid w:val="00960C6D"/>
    <w:rsid w:val="00960FFB"/>
    <w:rsid w:val="00966B2A"/>
    <w:rsid w:val="00974244"/>
    <w:rsid w:val="009813F3"/>
    <w:rsid w:val="00983349"/>
    <w:rsid w:val="00985EF2"/>
    <w:rsid w:val="00992312"/>
    <w:rsid w:val="00993549"/>
    <w:rsid w:val="00993C28"/>
    <w:rsid w:val="009958DF"/>
    <w:rsid w:val="009A57A8"/>
    <w:rsid w:val="009B2F8C"/>
    <w:rsid w:val="009C5E4C"/>
    <w:rsid w:val="009C663A"/>
    <w:rsid w:val="009D0261"/>
    <w:rsid w:val="009D142A"/>
    <w:rsid w:val="009D1C87"/>
    <w:rsid w:val="009D2A04"/>
    <w:rsid w:val="009D3964"/>
    <w:rsid w:val="009E71A1"/>
    <w:rsid w:val="009E75BD"/>
    <w:rsid w:val="009F085B"/>
    <w:rsid w:val="009F6CB3"/>
    <w:rsid w:val="00A0406B"/>
    <w:rsid w:val="00A05E51"/>
    <w:rsid w:val="00A10E8C"/>
    <w:rsid w:val="00A15981"/>
    <w:rsid w:val="00A20975"/>
    <w:rsid w:val="00A213DA"/>
    <w:rsid w:val="00A23075"/>
    <w:rsid w:val="00A2327C"/>
    <w:rsid w:val="00A25648"/>
    <w:rsid w:val="00A3033D"/>
    <w:rsid w:val="00A3207F"/>
    <w:rsid w:val="00A32103"/>
    <w:rsid w:val="00A37DAE"/>
    <w:rsid w:val="00A42B6A"/>
    <w:rsid w:val="00A435E1"/>
    <w:rsid w:val="00A45C90"/>
    <w:rsid w:val="00A46E33"/>
    <w:rsid w:val="00A50BCC"/>
    <w:rsid w:val="00A515C0"/>
    <w:rsid w:val="00A527F9"/>
    <w:rsid w:val="00A532CE"/>
    <w:rsid w:val="00A53AD2"/>
    <w:rsid w:val="00A5512F"/>
    <w:rsid w:val="00A6111B"/>
    <w:rsid w:val="00A62EA9"/>
    <w:rsid w:val="00A6624B"/>
    <w:rsid w:val="00A676E0"/>
    <w:rsid w:val="00A72A78"/>
    <w:rsid w:val="00A75008"/>
    <w:rsid w:val="00A801E6"/>
    <w:rsid w:val="00A80FC2"/>
    <w:rsid w:val="00A82C56"/>
    <w:rsid w:val="00A871C3"/>
    <w:rsid w:val="00A87958"/>
    <w:rsid w:val="00A906CC"/>
    <w:rsid w:val="00AA0BD6"/>
    <w:rsid w:val="00AA2B34"/>
    <w:rsid w:val="00AA475E"/>
    <w:rsid w:val="00AA5D7F"/>
    <w:rsid w:val="00AB094E"/>
    <w:rsid w:val="00AB1FAB"/>
    <w:rsid w:val="00AB2D01"/>
    <w:rsid w:val="00AC1862"/>
    <w:rsid w:val="00AC361D"/>
    <w:rsid w:val="00AC582A"/>
    <w:rsid w:val="00AD0456"/>
    <w:rsid w:val="00AE6312"/>
    <w:rsid w:val="00AE7251"/>
    <w:rsid w:val="00AE76D8"/>
    <w:rsid w:val="00AF288E"/>
    <w:rsid w:val="00AF6C07"/>
    <w:rsid w:val="00AF775D"/>
    <w:rsid w:val="00B0106E"/>
    <w:rsid w:val="00B01656"/>
    <w:rsid w:val="00B01C57"/>
    <w:rsid w:val="00B0350B"/>
    <w:rsid w:val="00B03D48"/>
    <w:rsid w:val="00B0779C"/>
    <w:rsid w:val="00B131E7"/>
    <w:rsid w:val="00B16C65"/>
    <w:rsid w:val="00B2059F"/>
    <w:rsid w:val="00B21032"/>
    <w:rsid w:val="00B24B5B"/>
    <w:rsid w:val="00B256A7"/>
    <w:rsid w:val="00B322C1"/>
    <w:rsid w:val="00B327A6"/>
    <w:rsid w:val="00B41259"/>
    <w:rsid w:val="00B424EC"/>
    <w:rsid w:val="00B50F36"/>
    <w:rsid w:val="00B5427A"/>
    <w:rsid w:val="00B547F6"/>
    <w:rsid w:val="00B62215"/>
    <w:rsid w:val="00B66197"/>
    <w:rsid w:val="00B66999"/>
    <w:rsid w:val="00B67659"/>
    <w:rsid w:val="00B67DC6"/>
    <w:rsid w:val="00B71725"/>
    <w:rsid w:val="00B71E3A"/>
    <w:rsid w:val="00B72C8F"/>
    <w:rsid w:val="00B740CE"/>
    <w:rsid w:val="00B771CE"/>
    <w:rsid w:val="00B809A8"/>
    <w:rsid w:val="00B85412"/>
    <w:rsid w:val="00B86036"/>
    <w:rsid w:val="00B92032"/>
    <w:rsid w:val="00B9267E"/>
    <w:rsid w:val="00B97CFE"/>
    <w:rsid w:val="00BB1C1B"/>
    <w:rsid w:val="00BB3FD8"/>
    <w:rsid w:val="00BB5AEC"/>
    <w:rsid w:val="00BC08AC"/>
    <w:rsid w:val="00BC0E4A"/>
    <w:rsid w:val="00BC643E"/>
    <w:rsid w:val="00BD07AC"/>
    <w:rsid w:val="00BD0F30"/>
    <w:rsid w:val="00BD30F1"/>
    <w:rsid w:val="00BE11E0"/>
    <w:rsid w:val="00BE2589"/>
    <w:rsid w:val="00BE3D06"/>
    <w:rsid w:val="00BE5F69"/>
    <w:rsid w:val="00BF5F19"/>
    <w:rsid w:val="00C012BB"/>
    <w:rsid w:val="00C0161F"/>
    <w:rsid w:val="00C016DA"/>
    <w:rsid w:val="00C01ED5"/>
    <w:rsid w:val="00C02279"/>
    <w:rsid w:val="00C04301"/>
    <w:rsid w:val="00C048DA"/>
    <w:rsid w:val="00C0571E"/>
    <w:rsid w:val="00C07948"/>
    <w:rsid w:val="00C12F2D"/>
    <w:rsid w:val="00C1317E"/>
    <w:rsid w:val="00C14547"/>
    <w:rsid w:val="00C211BB"/>
    <w:rsid w:val="00C21790"/>
    <w:rsid w:val="00C219B4"/>
    <w:rsid w:val="00C24073"/>
    <w:rsid w:val="00C2427F"/>
    <w:rsid w:val="00C247BD"/>
    <w:rsid w:val="00C257DC"/>
    <w:rsid w:val="00C260F4"/>
    <w:rsid w:val="00C277DF"/>
    <w:rsid w:val="00C3324C"/>
    <w:rsid w:val="00C34536"/>
    <w:rsid w:val="00C44E3C"/>
    <w:rsid w:val="00C457FC"/>
    <w:rsid w:val="00C46A01"/>
    <w:rsid w:val="00C54136"/>
    <w:rsid w:val="00C55576"/>
    <w:rsid w:val="00C55C41"/>
    <w:rsid w:val="00C56AC0"/>
    <w:rsid w:val="00C60633"/>
    <w:rsid w:val="00C62363"/>
    <w:rsid w:val="00C736F8"/>
    <w:rsid w:val="00C75353"/>
    <w:rsid w:val="00C75636"/>
    <w:rsid w:val="00C76C5E"/>
    <w:rsid w:val="00C7776B"/>
    <w:rsid w:val="00C81102"/>
    <w:rsid w:val="00C815B6"/>
    <w:rsid w:val="00C83063"/>
    <w:rsid w:val="00C831AA"/>
    <w:rsid w:val="00C90AE7"/>
    <w:rsid w:val="00CA1CC3"/>
    <w:rsid w:val="00CA3308"/>
    <w:rsid w:val="00CA3FBE"/>
    <w:rsid w:val="00CA401D"/>
    <w:rsid w:val="00CA6670"/>
    <w:rsid w:val="00CA7AB5"/>
    <w:rsid w:val="00CB1088"/>
    <w:rsid w:val="00CB18A6"/>
    <w:rsid w:val="00CB1E08"/>
    <w:rsid w:val="00CB35DB"/>
    <w:rsid w:val="00CB3C46"/>
    <w:rsid w:val="00CB5BDD"/>
    <w:rsid w:val="00CC2445"/>
    <w:rsid w:val="00CC3066"/>
    <w:rsid w:val="00CC76BA"/>
    <w:rsid w:val="00CD73DC"/>
    <w:rsid w:val="00CD76BA"/>
    <w:rsid w:val="00CE4966"/>
    <w:rsid w:val="00CE4D11"/>
    <w:rsid w:val="00CF04AE"/>
    <w:rsid w:val="00CF6E6C"/>
    <w:rsid w:val="00D11396"/>
    <w:rsid w:val="00D1523F"/>
    <w:rsid w:val="00D15A4D"/>
    <w:rsid w:val="00D2064B"/>
    <w:rsid w:val="00D209BD"/>
    <w:rsid w:val="00D20B0D"/>
    <w:rsid w:val="00D223CC"/>
    <w:rsid w:val="00D25C9B"/>
    <w:rsid w:val="00D274B3"/>
    <w:rsid w:val="00D3036F"/>
    <w:rsid w:val="00D330DD"/>
    <w:rsid w:val="00D406BA"/>
    <w:rsid w:val="00D44BFC"/>
    <w:rsid w:val="00D45D5A"/>
    <w:rsid w:val="00D46CD1"/>
    <w:rsid w:val="00D50124"/>
    <w:rsid w:val="00D502D2"/>
    <w:rsid w:val="00D52797"/>
    <w:rsid w:val="00D53366"/>
    <w:rsid w:val="00D53D15"/>
    <w:rsid w:val="00D57216"/>
    <w:rsid w:val="00D6095C"/>
    <w:rsid w:val="00D62F94"/>
    <w:rsid w:val="00D6346D"/>
    <w:rsid w:val="00D64142"/>
    <w:rsid w:val="00D650B9"/>
    <w:rsid w:val="00D6576C"/>
    <w:rsid w:val="00D73D8C"/>
    <w:rsid w:val="00D74936"/>
    <w:rsid w:val="00D76232"/>
    <w:rsid w:val="00D77197"/>
    <w:rsid w:val="00D80692"/>
    <w:rsid w:val="00D815C1"/>
    <w:rsid w:val="00D85DE1"/>
    <w:rsid w:val="00D87E9C"/>
    <w:rsid w:val="00D90B33"/>
    <w:rsid w:val="00D9295B"/>
    <w:rsid w:val="00D97C84"/>
    <w:rsid w:val="00DA0401"/>
    <w:rsid w:val="00DA6B81"/>
    <w:rsid w:val="00DB1AB9"/>
    <w:rsid w:val="00DB211C"/>
    <w:rsid w:val="00DB6626"/>
    <w:rsid w:val="00DC23F7"/>
    <w:rsid w:val="00DC2F32"/>
    <w:rsid w:val="00DC36CE"/>
    <w:rsid w:val="00DC6963"/>
    <w:rsid w:val="00DD16B5"/>
    <w:rsid w:val="00DD1B3B"/>
    <w:rsid w:val="00DD1BDB"/>
    <w:rsid w:val="00DD506F"/>
    <w:rsid w:val="00DD6ACC"/>
    <w:rsid w:val="00DD6DDF"/>
    <w:rsid w:val="00DE0D28"/>
    <w:rsid w:val="00DE640C"/>
    <w:rsid w:val="00DF16CA"/>
    <w:rsid w:val="00DF2EEF"/>
    <w:rsid w:val="00DF5407"/>
    <w:rsid w:val="00DF5601"/>
    <w:rsid w:val="00DF737C"/>
    <w:rsid w:val="00DF770D"/>
    <w:rsid w:val="00E00653"/>
    <w:rsid w:val="00E00E19"/>
    <w:rsid w:val="00E01A6E"/>
    <w:rsid w:val="00E0265F"/>
    <w:rsid w:val="00E06F63"/>
    <w:rsid w:val="00E1008F"/>
    <w:rsid w:val="00E13494"/>
    <w:rsid w:val="00E13B6B"/>
    <w:rsid w:val="00E1435B"/>
    <w:rsid w:val="00E15668"/>
    <w:rsid w:val="00E16777"/>
    <w:rsid w:val="00E16A72"/>
    <w:rsid w:val="00E22FF8"/>
    <w:rsid w:val="00E230D8"/>
    <w:rsid w:val="00E31959"/>
    <w:rsid w:val="00E3210E"/>
    <w:rsid w:val="00E3288A"/>
    <w:rsid w:val="00E3733A"/>
    <w:rsid w:val="00E41BD2"/>
    <w:rsid w:val="00E44328"/>
    <w:rsid w:val="00E51BDB"/>
    <w:rsid w:val="00E53561"/>
    <w:rsid w:val="00E53C08"/>
    <w:rsid w:val="00E53E06"/>
    <w:rsid w:val="00E54055"/>
    <w:rsid w:val="00E5769B"/>
    <w:rsid w:val="00E63300"/>
    <w:rsid w:val="00E635B2"/>
    <w:rsid w:val="00E635E7"/>
    <w:rsid w:val="00E65D22"/>
    <w:rsid w:val="00E65DED"/>
    <w:rsid w:val="00E706FE"/>
    <w:rsid w:val="00E70B71"/>
    <w:rsid w:val="00E72720"/>
    <w:rsid w:val="00E73A0C"/>
    <w:rsid w:val="00E73E21"/>
    <w:rsid w:val="00E82286"/>
    <w:rsid w:val="00E829EF"/>
    <w:rsid w:val="00E832E6"/>
    <w:rsid w:val="00E93FFF"/>
    <w:rsid w:val="00E97AD0"/>
    <w:rsid w:val="00E97D30"/>
    <w:rsid w:val="00EA03BD"/>
    <w:rsid w:val="00EA0B9F"/>
    <w:rsid w:val="00EA1DCC"/>
    <w:rsid w:val="00EA5519"/>
    <w:rsid w:val="00EA5AC6"/>
    <w:rsid w:val="00EB0F8B"/>
    <w:rsid w:val="00EB2DEF"/>
    <w:rsid w:val="00EC10E4"/>
    <w:rsid w:val="00EC3FA2"/>
    <w:rsid w:val="00EC4A79"/>
    <w:rsid w:val="00EC66EB"/>
    <w:rsid w:val="00EC7523"/>
    <w:rsid w:val="00EC77DD"/>
    <w:rsid w:val="00ED0596"/>
    <w:rsid w:val="00ED071D"/>
    <w:rsid w:val="00ED533E"/>
    <w:rsid w:val="00ED60FC"/>
    <w:rsid w:val="00ED6E5F"/>
    <w:rsid w:val="00EE285B"/>
    <w:rsid w:val="00EE5301"/>
    <w:rsid w:val="00EE6884"/>
    <w:rsid w:val="00EE750D"/>
    <w:rsid w:val="00EF3FFC"/>
    <w:rsid w:val="00EF4424"/>
    <w:rsid w:val="00EF4A24"/>
    <w:rsid w:val="00EF5906"/>
    <w:rsid w:val="00F054A0"/>
    <w:rsid w:val="00F07C79"/>
    <w:rsid w:val="00F1209E"/>
    <w:rsid w:val="00F13A23"/>
    <w:rsid w:val="00F22B83"/>
    <w:rsid w:val="00F25D92"/>
    <w:rsid w:val="00F26E6D"/>
    <w:rsid w:val="00F3481F"/>
    <w:rsid w:val="00F34FED"/>
    <w:rsid w:val="00F36ACB"/>
    <w:rsid w:val="00F37EA3"/>
    <w:rsid w:val="00F41EA7"/>
    <w:rsid w:val="00F4221D"/>
    <w:rsid w:val="00F44C89"/>
    <w:rsid w:val="00F511F6"/>
    <w:rsid w:val="00F513FD"/>
    <w:rsid w:val="00F51874"/>
    <w:rsid w:val="00F53EF4"/>
    <w:rsid w:val="00F56503"/>
    <w:rsid w:val="00F6133A"/>
    <w:rsid w:val="00F66545"/>
    <w:rsid w:val="00F80191"/>
    <w:rsid w:val="00F817D5"/>
    <w:rsid w:val="00F86FAC"/>
    <w:rsid w:val="00F973D4"/>
    <w:rsid w:val="00FA2DB2"/>
    <w:rsid w:val="00FA3DF7"/>
    <w:rsid w:val="00FB088E"/>
    <w:rsid w:val="00FB5F18"/>
    <w:rsid w:val="00FC0479"/>
    <w:rsid w:val="00FC3AB6"/>
    <w:rsid w:val="00FC54FB"/>
    <w:rsid w:val="00FD0882"/>
    <w:rsid w:val="00FD1600"/>
    <w:rsid w:val="00FD1E9C"/>
    <w:rsid w:val="00FD218D"/>
    <w:rsid w:val="00FD4281"/>
    <w:rsid w:val="00FD7965"/>
    <w:rsid w:val="00FE0295"/>
    <w:rsid w:val="00FE5815"/>
    <w:rsid w:val="00FE5F44"/>
    <w:rsid w:val="00FE7B06"/>
    <w:rsid w:val="00FF0AE7"/>
    <w:rsid w:val="00FF1B15"/>
    <w:rsid w:val="00FF475D"/>
    <w:rsid w:val="016C780C"/>
    <w:rsid w:val="01B8645F"/>
    <w:rsid w:val="01B944CC"/>
    <w:rsid w:val="01ED1133"/>
    <w:rsid w:val="024C0ED1"/>
    <w:rsid w:val="028C1F59"/>
    <w:rsid w:val="030054FC"/>
    <w:rsid w:val="032121AE"/>
    <w:rsid w:val="041257E6"/>
    <w:rsid w:val="04FB1430"/>
    <w:rsid w:val="05172BD0"/>
    <w:rsid w:val="058B2628"/>
    <w:rsid w:val="058F1A6D"/>
    <w:rsid w:val="06793B35"/>
    <w:rsid w:val="06AA3F48"/>
    <w:rsid w:val="07685EA0"/>
    <w:rsid w:val="07F9047A"/>
    <w:rsid w:val="08775044"/>
    <w:rsid w:val="089303A1"/>
    <w:rsid w:val="08EC42B3"/>
    <w:rsid w:val="08EE2E36"/>
    <w:rsid w:val="092E0391"/>
    <w:rsid w:val="094B6935"/>
    <w:rsid w:val="0965275F"/>
    <w:rsid w:val="099819F1"/>
    <w:rsid w:val="09E248B4"/>
    <w:rsid w:val="0A1B2824"/>
    <w:rsid w:val="0A7A6454"/>
    <w:rsid w:val="0AD97CBD"/>
    <w:rsid w:val="0BB102BE"/>
    <w:rsid w:val="0C86159B"/>
    <w:rsid w:val="0E627828"/>
    <w:rsid w:val="0F160DD4"/>
    <w:rsid w:val="0F42154F"/>
    <w:rsid w:val="0F5F09C4"/>
    <w:rsid w:val="12385E57"/>
    <w:rsid w:val="12C109A8"/>
    <w:rsid w:val="12C82F5F"/>
    <w:rsid w:val="13E509F2"/>
    <w:rsid w:val="14B9218B"/>
    <w:rsid w:val="15597D95"/>
    <w:rsid w:val="15EE0289"/>
    <w:rsid w:val="15FE3CC8"/>
    <w:rsid w:val="16275485"/>
    <w:rsid w:val="168710F0"/>
    <w:rsid w:val="17554358"/>
    <w:rsid w:val="179B18E5"/>
    <w:rsid w:val="18EF5164"/>
    <w:rsid w:val="19634AA6"/>
    <w:rsid w:val="19DD0334"/>
    <w:rsid w:val="1A557D8C"/>
    <w:rsid w:val="1A7F2286"/>
    <w:rsid w:val="1B877235"/>
    <w:rsid w:val="1B9350CF"/>
    <w:rsid w:val="1BA45BFA"/>
    <w:rsid w:val="1C022402"/>
    <w:rsid w:val="1D031FA5"/>
    <w:rsid w:val="1D383726"/>
    <w:rsid w:val="1E2D5D71"/>
    <w:rsid w:val="1E6C23B7"/>
    <w:rsid w:val="1FC42E2D"/>
    <w:rsid w:val="1FEB30FE"/>
    <w:rsid w:val="205D1D27"/>
    <w:rsid w:val="22D32CB4"/>
    <w:rsid w:val="22EF40B1"/>
    <w:rsid w:val="22F84D3E"/>
    <w:rsid w:val="24654FF9"/>
    <w:rsid w:val="24B473C2"/>
    <w:rsid w:val="25124938"/>
    <w:rsid w:val="26053654"/>
    <w:rsid w:val="27413274"/>
    <w:rsid w:val="277D5657"/>
    <w:rsid w:val="279E0BE0"/>
    <w:rsid w:val="281E20FE"/>
    <w:rsid w:val="28541E37"/>
    <w:rsid w:val="28971627"/>
    <w:rsid w:val="29F86962"/>
    <w:rsid w:val="2A39782B"/>
    <w:rsid w:val="2A497C51"/>
    <w:rsid w:val="2A5309B7"/>
    <w:rsid w:val="2A9610ED"/>
    <w:rsid w:val="2B763CA2"/>
    <w:rsid w:val="2BB830E4"/>
    <w:rsid w:val="2BF734EB"/>
    <w:rsid w:val="2C2F0132"/>
    <w:rsid w:val="2CF76756"/>
    <w:rsid w:val="2D7D2598"/>
    <w:rsid w:val="2DC15F82"/>
    <w:rsid w:val="2DEC6BE5"/>
    <w:rsid w:val="2EB17C28"/>
    <w:rsid w:val="2F9B12BD"/>
    <w:rsid w:val="2FA94D3D"/>
    <w:rsid w:val="2FC250A9"/>
    <w:rsid w:val="30D97171"/>
    <w:rsid w:val="312133D5"/>
    <w:rsid w:val="313553C8"/>
    <w:rsid w:val="31FD56FE"/>
    <w:rsid w:val="3380537B"/>
    <w:rsid w:val="33DC1E24"/>
    <w:rsid w:val="33DF7942"/>
    <w:rsid w:val="34795EBE"/>
    <w:rsid w:val="34CA7240"/>
    <w:rsid w:val="359275EB"/>
    <w:rsid w:val="35DB18E9"/>
    <w:rsid w:val="36226EA0"/>
    <w:rsid w:val="37170E64"/>
    <w:rsid w:val="37CB0D94"/>
    <w:rsid w:val="380B5401"/>
    <w:rsid w:val="38762532"/>
    <w:rsid w:val="38CE09C2"/>
    <w:rsid w:val="39830C8C"/>
    <w:rsid w:val="39F63881"/>
    <w:rsid w:val="3A333693"/>
    <w:rsid w:val="3AE33D50"/>
    <w:rsid w:val="3B687344"/>
    <w:rsid w:val="3C042164"/>
    <w:rsid w:val="3C1C779D"/>
    <w:rsid w:val="3C6D68AF"/>
    <w:rsid w:val="3D1915AD"/>
    <w:rsid w:val="3D5F1E38"/>
    <w:rsid w:val="3D6F3218"/>
    <w:rsid w:val="3E3D6A9E"/>
    <w:rsid w:val="3EC332F6"/>
    <w:rsid w:val="3EFF5B58"/>
    <w:rsid w:val="3F65658D"/>
    <w:rsid w:val="3FA9308E"/>
    <w:rsid w:val="40DF6A2D"/>
    <w:rsid w:val="41D97316"/>
    <w:rsid w:val="42431D7E"/>
    <w:rsid w:val="43C673CD"/>
    <w:rsid w:val="44B40D48"/>
    <w:rsid w:val="452C3517"/>
    <w:rsid w:val="45920A03"/>
    <w:rsid w:val="460A3878"/>
    <w:rsid w:val="46773B8D"/>
    <w:rsid w:val="47293CD0"/>
    <w:rsid w:val="47784CB6"/>
    <w:rsid w:val="47CC1C9E"/>
    <w:rsid w:val="47D758A3"/>
    <w:rsid w:val="47E71B04"/>
    <w:rsid w:val="487D6C4D"/>
    <w:rsid w:val="48990EDF"/>
    <w:rsid w:val="4910286C"/>
    <w:rsid w:val="4943606A"/>
    <w:rsid w:val="49DE41BE"/>
    <w:rsid w:val="4A0156CB"/>
    <w:rsid w:val="4A3F51C6"/>
    <w:rsid w:val="4B324073"/>
    <w:rsid w:val="4B535FFB"/>
    <w:rsid w:val="4D07052C"/>
    <w:rsid w:val="4E570B14"/>
    <w:rsid w:val="4E9D141C"/>
    <w:rsid w:val="4EC72940"/>
    <w:rsid w:val="4F311138"/>
    <w:rsid w:val="501C16FA"/>
    <w:rsid w:val="502618E8"/>
    <w:rsid w:val="51C45F00"/>
    <w:rsid w:val="51DF2696"/>
    <w:rsid w:val="51F7397F"/>
    <w:rsid w:val="51FB670C"/>
    <w:rsid w:val="5217603C"/>
    <w:rsid w:val="52A3052D"/>
    <w:rsid w:val="54E00A4E"/>
    <w:rsid w:val="55AA10A7"/>
    <w:rsid w:val="56EA6524"/>
    <w:rsid w:val="571064C9"/>
    <w:rsid w:val="57BA337A"/>
    <w:rsid w:val="5873679E"/>
    <w:rsid w:val="58B24629"/>
    <w:rsid w:val="599539D0"/>
    <w:rsid w:val="599B388F"/>
    <w:rsid w:val="599F0522"/>
    <w:rsid w:val="59C01943"/>
    <w:rsid w:val="59F31D20"/>
    <w:rsid w:val="5A9B118A"/>
    <w:rsid w:val="5B2F6D4D"/>
    <w:rsid w:val="5BF24D5F"/>
    <w:rsid w:val="5C437A72"/>
    <w:rsid w:val="5CE45EAD"/>
    <w:rsid w:val="5D3D63FD"/>
    <w:rsid w:val="5D4D621E"/>
    <w:rsid w:val="5E41193A"/>
    <w:rsid w:val="5EC37085"/>
    <w:rsid w:val="5F5124F5"/>
    <w:rsid w:val="5F66753F"/>
    <w:rsid w:val="60385CED"/>
    <w:rsid w:val="60D038E2"/>
    <w:rsid w:val="616E3F4A"/>
    <w:rsid w:val="617B3D7A"/>
    <w:rsid w:val="61DB7791"/>
    <w:rsid w:val="623F2BBF"/>
    <w:rsid w:val="62DA7A5B"/>
    <w:rsid w:val="6314191D"/>
    <w:rsid w:val="639C3AA8"/>
    <w:rsid w:val="63B464B7"/>
    <w:rsid w:val="64D54CAC"/>
    <w:rsid w:val="66041443"/>
    <w:rsid w:val="664C1EF4"/>
    <w:rsid w:val="66883D69"/>
    <w:rsid w:val="66C37030"/>
    <w:rsid w:val="66CC2933"/>
    <w:rsid w:val="66E82263"/>
    <w:rsid w:val="67013EEE"/>
    <w:rsid w:val="67381684"/>
    <w:rsid w:val="680E4244"/>
    <w:rsid w:val="685A2825"/>
    <w:rsid w:val="6A3B4BD9"/>
    <w:rsid w:val="6A6D08ED"/>
    <w:rsid w:val="6A74500D"/>
    <w:rsid w:val="6A8A7D73"/>
    <w:rsid w:val="6A977D90"/>
    <w:rsid w:val="6AB43870"/>
    <w:rsid w:val="6B452B0C"/>
    <w:rsid w:val="6BD21222"/>
    <w:rsid w:val="6BF15DDB"/>
    <w:rsid w:val="6C474C68"/>
    <w:rsid w:val="6CC24D65"/>
    <w:rsid w:val="6D0D7EFA"/>
    <w:rsid w:val="6E3D7696"/>
    <w:rsid w:val="6EB16FAA"/>
    <w:rsid w:val="6F232C57"/>
    <w:rsid w:val="6F4546EB"/>
    <w:rsid w:val="6FA53ED2"/>
    <w:rsid w:val="6FA71DBC"/>
    <w:rsid w:val="70472AA7"/>
    <w:rsid w:val="717E613F"/>
    <w:rsid w:val="724C122A"/>
    <w:rsid w:val="7324624A"/>
    <w:rsid w:val="734B20D4"/>
    <w:rsid w:val="74674908"/>
    <w:rsid w:val="752B3379"/>
    <w:rsid w:val="785956D8"/>
    <w:rsid w:val="785D652F"/>
    <w:rsid w:val="7917612C"/>
    <w:rsid w:val="79997034"/>
    <w:rsid w:val="7A581FB7"/>
    <w:rsid w:val="7ABB2955"/>
    <w:rsid w:val="7ADB231E"/>
    <w:rsid w:val="7B303FA7"/>
    <w:rsid w:val="7B353CB2"/>
    <w:rsid w:val="7B420439"/>
    <w:rsid w:val="7C1977A8"/>
    <w:rsid w:val="7CAB1295"/>
    <w:rsid w:val="7E3C3FAA"/>
    <w:rsid w:val="7F0F4C36"/>
    <w:rsid w:val="7F5D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semiHidden="0" w:uiPriority="0" w:unhideWhenUsed="0"/>
    <w:lsdException w:name="caption" w:uiPriority="35" w:qFormat="1"/>
    <w:lsdException w:name="footnote reference" w:uiPriority="0"/>
    <w:lsdException w:name="annotation reference"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D1"/>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B22D1"/>
    <w:pPr>
      <w:spacing w:after="0" w:line="240" w:lineRule="auto"/>
    </w:pPr>
    <w:rPr>
      <w:rFonts w:ascii="Tahoma" w:hAnsi="Tahoma" w:cs="Tahoma"/>
      <w:sz w:val="16"/>
      <w:szCs w:val="16"/>
    </w:rPr>
  </w:style>
  <w:style w:type="paragraph" w:styleId="BodyText">
    <w:name w:val="Body Text"/>
    <w:basedOn w:val="Normal"/>
    <w:link w:val="BodyTextChar"/>
    <w:rsid w:val="006B22D1"/>
    <w:pPr>
      <w:spacing w:before="120" w:after="0" w:line="240" w:lineRule="auto"/>
      <w:jc w:val="both"/>
    </w:pPr>
    <w:rPr>
      <w:rFonts w:eastAsia="Times New Roman" w:cs="Times New Roman"/>
      <w:szCs w:val="28"/>
    </w:rPr>
  </w:style>
  <w:style w:type="character" w:styleId="CommentReference">
    <w:name w:val="annotation reference"/>
    <w:rsid w:val="006B22D1"/>
    <w:rPr>
      <w:sz w:val="18"/>
      <w:szCs w:val="18"/>
    </w:rPr>
  </w:style>
  <w:style w:type="paragraph" w:styleId="CommentText">
    <w:name w:val="annotation text"/>
    <w:basedOn w:val="Normal"/>
    <w:link w:val="CommentTextChar"/>
    <w:rsid w:val="006B22D1"/>
    <w:pPr>
      <w:spacing w:after="0" w:line="24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qFormat/>
    <w:rsid w:val="006B22D1"/>
    <w:pPr>
      <w:spacing w:after="160"/>
    </w:pPr>
    <w:rPr>
      <w:rFonts w:eastAsiaTheme="minorHAnsi" w:cstheme="minorBidi"/>
      <w:b/>
      <w:bCs/>
      <w:sz w:val="20"/>
      <w:szCs w:val="20"/>
    </w:rPr>
  </w:style>
  <w:style w:type="table" w:styleId="TableGrid">
    <w:name w:val="Table Grid"/>
    <w:basedOn w:val="TableNormal"/>
    <w:uiPriority w:val="39"/>
    <w:rsid w:val="006B22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qFormat/>
    <w:rsid w:val="006B22D1"/>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sid w:val="006B22D1"/>
    <w:rPr>
      <w:rFonts w:ascii="Tahoma" w:hAnsi="Tahoma" w:cs="Tahoma"/>
      <w:sz w:val="16"/>
      <w:szCs w:val="16"/>
    </w:rPr>
  </w:style>
  <w:style w:type="character" w:customStyle="1" w:styleId="BodyTextChar">
    <w:name w:val="Body Text Char"/>
    <w:basedOn w:val="DefaultParagraphFont"/>
    <w:link w:val="BodyText"/>
    <w:qFormat/>
    <w:rsid w:val="006B22D1"/>
    <w:rPr>
      <w:rFonts w:eastAsia="Times New Roman" w:cs="Times New Roman"/>
      <w:szCs w:val="28"/>
    </w:rPr>
  </w:style>
  <w:style w:type="paragraph" w:styleId="ListParagraph">
    <w:name w:val="List Paragraph"/>
    <w:basedOn w:val="Normal"/>
    <w:uiPriority w:val="34"/>
    <w:qFormat/>
    <w:rsid w:val="006B22D1"/>
    <w:pPr>
      <w:ind w:left="720"/>
      <w:contextualSpacing/>
    </w:pPr>
  </w:style>
  <w:style w:type="character" w:customStyle="1" w:styleId="CommentSubjectChar">
    <w:name w:val="Comment Subject Char"/>
    <w:basedOn w:val="CommentTextChar"/>
    <w:link w:val="CommentSubject"/>
    <w:uiPriority w:val="99"/>
    <w:semiHidden/>
    <w:qFormat/>
    <w:rsid w:val="006B22D1"/>
    <w:rPr>
      <w:rFonts w:eastAsia="Times New Roman" w:cs="Times New Roman"/>
      <w:b/>
      <w:bCs/>
      <w:sz w:val="20"/>
      <w:szCs w:val="20"/>
    </w:rPr>
  </w:style>
  <w:style w:type="paragraph" w:styleId="NormalWeb">
    <w:name w:val="Normal (Web)"/>
    <w:aliases w:val="Normal (Web) Char"/>
    <w:basedOn w:val="Normal"/>
    <w:link w:val="NormalWebChar1"/>
    <w:uiPriority w:val="99"/>
    <w:rsid w:val="00B71725"/>
    <w:pPr>
      <w:spacing w:before="100" w:beforeAutospacing="1" w:after="100" w:afterAutospacing="1" w:line="240" w:lineRule="auto"/>
    </w:pPr>
    <w:rPr>
      <w:rFonts w:eastAsia="SimSun" w:cs="Times New Roman"/>
      <w:sz w:val="24"/>
      <w:szCs w:val="24"/>
      <w:lang w:val="en-AU" w:eastAsia="en-AU"/>
    </w:rPr>
  </w:style>
  <w:style w:type="paragraph" w:customStyle="1" w:styleId="CharCharChar">
    <w:name w:val="Char Char Char"/>
    <w:basedOn w:val="Normal"/>
    <w:rsid w:val="00505513"/>
    <w:pPr>
      <w:spacing w:line="240" w:lineRule="exact"/>
    </w:pPr>
    <w:rPr>
      <w:rFonts w:ascii="Tahoma" w:eastAsia="Times New Roman" w:hAnsi="Tahoma" w:cs="Tahoma"/>
      <w:sz w:val="20"/>
      <w:szCs w:val="20"/>
    </w:rPr>
  </w:style>
  <w:style w:type="paragraph" w:styleId="FootnoteText">
    <w:name w:val="footnote text"/>
    <w:basedOn w:val="Normal"/>
    <w:link w:val="FootnoteTextChar"/>
    <w:rsid w:val="00A10E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10E8C"/>
    <w:rPr>
      <w:rFonts w:eastAsia="Times New Roman" w:cs="Times New Roman"/>
    </w:rPr>
  </w:style>
  <w:style w:type="character" w:styleId="FootnoteReference">
    <w:name w:val="footnote reference"/>
    <w:rsid w:val="00A10E8C"/>
    <w:rPr>
      <w:vertAlign w:val="superscript"/>
    </w:rPr>
  </w:style>
  <w:style w:type="paragraph" w:styleId="Header">
    <w:name w:val="header"/>
    <w:basedOn w:val="Normal"/>
    <w:link w:val="HeaderChar"/>
    <w:uiPriority w:val="99"/>
    <w:unhideWhenUsed/>
    <w:rsid w:val="00A04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06B"/>
    <w:rPr>
      <w:sz w:val="28"/>
      <w:szCs w:val="22"/>
    </w:rPr>
  </w:style>
  <w:style w:type="paragraph" w:styleId="Footer">
    <w:name w:val="footer"/>
    <w:basedOn w:val="Normal"/>
    <w:link w:val="FooterChar"/>
    <w:uiPriority w:val="99"/>
    <w:semiHidden/>
    <w:unhideWhenUsed/>
    <w:rsid w:val="00A04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06B"/>
    <w:rPr>
      <w:sz w:val="28"/>
      <w:szCs w:val="22"/>
    </w:rPr>
  </w:style>
  <w:style w:type="character" w:customStyle="1" w:styleId="NormalWebChar1">
    <w:name w:val="Normal (Web) Char1"/>
    <w:aliases w:val="Normal (Web) Char Char"/>
    <w:link w:val="NormalWeb"/>
    <w:uiPriority w:val="99"/>
    <w:locked/>
    <w:rsid w:val="00CB3C46"/>
    <w:rPr>
      <w:rFonts w:eastAsia="SimSun" w:cs="Times New Roman"/>
      <w:sz w:val="24"/>
      <w:szCs w:val="24"/>
      <w:lang w:val="en-AU" w:eastAsia="en-AU"/>
    </w:rPr>
  </w:style>
</w:styles>
</file>

<file path=word/webSettings.xml><?xml version="1.0" encoding="utf-8"?>
<w:webSettings xmlns:r="http://schemas.openxmlformats.org/officeDocument/2006/relationships" xmlns:w="http://schemas.openxmlformats.org/wordprocessingml/2006/main">
  <w:divs>
    <w:div w:id="176896547">
      <w:bodyDiv w:val="1"/>
      <w:marLeft w:val="0"/>
      <w:marRight w:val="0"/>
      <w:marTop w:val="0"/>
      <w:marBottom w:val="0"/>
      <w:divBdr>
        <w:top w:val="none" w:sz="0" w:space="0" w:color="auto"/>
        <w:left w:val="none" w:sz="0" w:space="0" w:color="auto"/>
        <w:bottom w:val="none" w:sz="0" w:space="0" w:color="auto"/>
        <w:right w:val="none" w:sz="0" w:space="0" w:color="auto"/>
      </w:divBdr>
    </w:div>
    <w:div w:id="805707899">
      <w:bodyDiv w:val="1"/>
      <w:marLeft w:val="0"/>
      <w:marRight w:val="0"/>
      <w:marTop w:val="0"/>
      <w:marBottom w:val="0"/>
      <w:divBdr>
        <w:top w:val="none" w:sz="0" w:space="0" w:color="auto"/>
        <w:left w:val="none" w:sz="0" w:space="0" w:color="auto"/>
        <w:bottom w:val="none" w:sz="0" w:space="0" w:color="auto"/>
        <w:right w:val="none" w:sz="0" w:space="0" w:color="auto"/>
      </w:divBdr>
    </w:div>
    <w:div w:id="1589117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92AF-0475-4A90-9D37-43306FB4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452</cp:revision>
  <cp:lastPrinted>2025-04-01T09:14:00Z</cp:lastPrinted>
  <dcterms:created xsi:type="dcterms:W3CDTF">2024-11-20T07:46:00Z</dcterms:created>
  <dcterms:modified xsi:type="dcterms:W3CDTF">2025-11-17T01:40:00Z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AF2C6C0838934B6C80044B504041C49E_12</vt:lpwstr>
  </property>
</Properties>
</file>